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ditch spreadsheets to secure revenue and partner trust through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Manufacturers that still run channel incentive programmes from spreadsheets are paying a steep price in time, margin and partner trust. Recent industry reporting shows manual entry and fractured data flows leave manufacturers vulnerable to overpayments, slow payouts and disputes that erode partner engagement. The problem is systemic: poor data quality and labour-intensive verification create both measurable financial leakage and the kind of friction that pushes distributors toward easier-to-work-with rivals.</w:t>
      </w:r>
      <w:r/>
    </w:p>
    <w:p>
      <w:r/>
      <w:r>
        <w:t>The scale of the issue is substantial. Research cited by Computer Market Research finds manufacturers routinely see error rates and dispute-driven overpayments that cut into incentives budgets. Broader studies put the cost of bad data in sharper relief: analysis from Backwell Tech estimates incorrect or incomplete data costs US businesses trillions annually, with individual errors sometimes costing more than $100 to remediate. Sector-specific reports reach similar conclusions, healthcare finance write-ups document double-digit percentage revenue leakage from posting and reconciliation mistakes, underscoring that manual processes are a cross-industry vulnerability.</w:t>
      </w:r>
      <w:r/>
    </w:p>
    <w:p>
      <w:r/>
      <w:r>
        <w:t>Ease of doing business has become the dominant partner expectation. ChannelNomics reporting shows roughly three quarters of partners view vendor programmes as overly complex, and they regularly prioritise simplicity and speed over marginally higher payouts. That preference helps explain why programmes built on opaque rules, delayed verification and periodic PDF statements struggle to hold partner mindshare. When rewards take weeks to materialise or require multi-step claims, the motivational effect diminishes quickly.</w:t>
      </w:r>
      <w:r/>
    </w:p>
    <w:p>
      <w:r/>
      <w:r>
        <w:t>Automation and centralised data architectures address both the administrative burden and the trust deficit. Cloud-based partner portals that ingest point-of-sale feeds, validate claims automatically and provide partners with 24/7 visibility shorten claim lifecycles from weeks to days or hours. These platforms produce time-stamped audit trails that reduce duplicate payments and make compliance with regional tax and anti-corruption rules auditable. Industry analysis shows automated validation can cut manual audit effort substantially and reduce dispute volumes in the months after deployment.</w:t>
      </w:r>
      <w:r/>
    </w:p>
    <w:p>
      <w:r/>
      <w:r>
        <w:t>A modern incentive blueprint combines short-term tactical levers with long-term relationship-building. Sales Performance Incentive Funds (SPIFFs) remain useful for accelerating product launches or clearing aged stock, but must be stitched into a broader tiered structure so uplift is sustained. Market Development Funds and co-op programmes should be managed as strategic investments that are tracked to outcomes; channel marketing automation tools can link spend to lead conversion and calculate true return on those investments. Non-monetary rewards, priority technical support, certifications and early product access, often deliver superior retention because they raise switching costs for partners.</w:t>
      </w:r>
      <w:r/>
    </w:p>
    <w:p>
      <w:r/>
      <w:r>
        <w:t>Data discipline is the foundation of scalable programmes. Manufacturers should audit POS feeds, enforce frequent reporting cadence, normalise SKU and contract data and align incentives to measurable KPIs such as margin-preserving growth or regional market share. Integrations with CRM and ERP systems remove reconciliation bottlenecks and enable trigger-based workflows so rewards follow verified transactions. Forbes analysis of deal readiness notes that organisations lacking integrated governance and seamless data flows are ill-prepared for complex transactions, a warning relevant to any firm seeking to scale global channel operations.</w:t>
      </w:r>
      <w:r/>
    </w:p>
    <w:p>
      <w:r/>
      <w:r>
        <w:t>The financial case for modernisation is straightforward. Multiple analyses suggest firms lose a meaningful share of incentive spend to errors and inefficiencies, estimates vary by sector but commonly indicate single-digit to low-double-digit percentage leakage without automation. Reclaiming that spend depends on replacing manual reconciliation with automated matching and exception handling; AI-assisted matching and standardised contract data have been shown to reduce preventable disputes and recover margin in industries such as healthcare and manufacturing.</w:t>
      </w:r>
      <w:r/>
    </w:p>
    <w:p>
      <w:r/>
      <w:r>
        <w:t>Practical implementation follows a phased, data-first approach. Begin with a comprehensive data quality audit, define outcome-linked KPIs, map the partner journey to eliminate friction points, and implement integrations that make incentive triggers deterministic rather than discretionary. Launch a centralised partner portal to give distributors transparent, real-time sight of earned rewards and fund availability. Adopt modular software so capability can be deployed iteratively, starting with rebate and SPIFF automation and adding MDF, ship-and-debit or inventory visibility over time.</w:t>
      </w:r>
      <w:r/>
    </w:p>
    <w:p>
      <w:r/>
      <w:r>
        <w:t>Adopting these steps delivers operational and strategic gains: faster claims processing, lower dispute rates, improved compliance and stronger partner loyalty. Vendors promoting bespoke platforms claim large reductions in manual effort and tangible retention improvements; editorially, those claims should be tested in pilots that measure dispute rates, time-to-pay and partner satisfaction before full roll-out.</w:t>
      </w:r>
      <w:r/>
    </w:p>
    <w:p>
      <w:r/>
      <w:r>
        <w:t>The shift away from spreadsheet-based management is no longer optional for manufacturers that depend on channel partners for growth. Clean, automated data flows convert incentive programmes from a costly administrative task into a predictable revenue driver and a means to secure partner mindshare. For organisations serious about channel scale, the priority is clear: invest in integrated, transparent systems that reward the right behaviours quickly and accurately, and turn incentive management into a strategic advantage rather than a recurring drain on margin.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https://computermarketresearch.com/channel-partner-incentive-programs-the-2026-strategic-guide-to-roi/?utm_source=rss&amp;utm_medium=rss&amp;utm_campaign=channel-partner-incentive-programs-the-2026-strategic-guide-to-roi</w:t>
        </w:r>
      </w:hyperlink>
      <w:r>
        <w:t xml:space="preserve"> - Please view link - unable to able to access data</w:t>
      </w:r>
      <w:r/>
    </w:p>
    <w:p>
      <w:pPr>
        <w:pStyle w:val="ListNumber"/>
        <w:spacing w:line="240" w:lineRule="auto"/>
        <w:ind w:left="720"/>
      </w:pPr>
      <w:r/>
      <w:hyperlink r:id="rId11">
        <w:r>
          <w:rPr>
            <w:color w:val="0000EE"/>
            <w:u w:val="single"/>
          </w:rPr>
          <w:t>https://www.backwelltechcorp.com/en/pages/97CC538E-E886-11EE-9D98-8187D36AB79A%2C2C26705A-0848-417B-B823-30AD086C7C76%2C1F9CC5B0-6E18-11F0-A88E-F2059C908C71/</w:t>
        </w:r>
      </w:hyperlink>
      <w:r>
        <w:t xml:space="preserve"> - This article discusses the significant impact of manual data entry errors on business operations, highlighting that bad data costs the U.S. economy over $3 trillion annually, with businesses potentially losing up to 25% of their revenue due to poor data. It also notes that the cost of fixing a single data error can exceed $100 if left unresolved. The article emphasizes the importance of accurate data entry and the need for businesses to invest in systems that reduce errors and improve data quality.</w:t>
      </w:r>
      <w:r/>
    </w:p>
    <w:p>
      <w:pPr>
        <w:pStyle w:val="ListNumber"/>
        <w:spacing w:line="240" w:lineRule="auto"/>
        <w:ind w:left="720"/>
      </w:pPr>
      <w:r/>
      <w:hyperlink r:id="rId12">
        <w:r>
          <w:rPr>
            <w:color w:val="0000EE"/>
            <w:u w:val="single"/>
          </w:rPr>
          <w:t>https://www.channelnomics.com/insights/ccc-recap-partners-say-programs-are-too-complex</w:t>
        </w:r>
      </w:hyperlink>
      <w:r>
        <w:t xml:space="preserve"> - This report delves into the factors that underscore the importance of ease of doing business as a foundational objective for shaping partner behavior and performance. It highlights that 73% of channel partners say vendor channel programs are too complex, and partners say that ease of doing business affects their growth outlook. The report suggests that simplifying channel programs can lead to better partner engagement and growth opportunities.</w:t>
      </w:r>
      <w:r/>
    </w:p>
    <w:p>
      <w:pPr>
        <w:pStyle w:val="ListNumber"/>
        <w:spacing w:line="240" w:lineRule="auto"/>
        <w:ind w:left="720"/>
      </w:pPr>
      <w:r/>
      <w:hyperlink r:id="rId13">
        <w:r>
          <w:rPr>
            <w:color w:val="0000EE"/>
            <w:u w:val="single"/>
          </w:rPr>
          <w:t>https://www.clearfunction.com/insights/erp-the-hidden-revenue-leakage-in-healthcare</w:t>
        </w:r>
      </w:hyperlink>
      <w:r>
        <w:t xml:space="preserve"> - This article highlights the significant financial impact of electronic remittance processing errors and inefficiencies in the U.S. healthcare industry, costing $260 billion annually in denied claims alone. It also notes that individual hospitals lose between 10-20% of annual revenues to various forms of revenue leakage. The article discusses the challenges healthcare organizations face with posting errors, underpayment detection, and reconciliation, and emphasizes the need for improved processes to reclaim lost revenue.</w:t>
      </w:r>
      <w:r/>
    </w:p>
    <w:p>
      <w:pPr>
        <w:pStyle w:val="ListNumber"/>
        <w:spacing w:line="240" w:lineRule="auto"/>
        <w:ind w:left="720"/>
      </w:pPr>
      <w:r/>
      <w:hyperlink r:id="rId14">
        <w:r>
          <w:rPr>
            <w:color w:val="0000EE"/>
            <w:u w:val="single"/>
          </w:rPr>
          <w:t>https://www.profitoptics.com/insights/the-hidden-cost-of-chargeback-errors-and-how-healthcare-companies-can-reclaim-lost-margin</w:t>
        </w:r>
      </w:hyperlink>
      <w:r>
        <w:t xml:space="preserve"> - This article discusses the hidden costs of chargeback errors in the healthcare industry, noting that manufacturers and distributors lose 5–10% of total chargeback value to preventable data and process errors. It identifies fragmented contract data, manual reconciliation, and eligibility mismatches as the biggest sources of profit leakage. The article suggests that fixing chargeback errors starts with data discipline and workflow alignment between manufacturers, distributors, and GPOs, and highlights the adoption of automation and AI-powered matching to eliminate disputes and recover lost revenue.</w:t>
      </w:r>
      <w:r/>
    </w:p>
    <w:p>
      <w:pPr>
        <w:pStyle w:val="ListNumber"/>
        <w:spacing w:line="240" w:lineRule="auto"/>
        <w:ind w:left="720"/>
      </w:pPr>
      <w:r/>
      <w:hyperlink r:id="rId15">
        <w:r>
          <w:rPr>
            <w:color w:val="0000EE"/>
            <w:u w:val="single"/>
          </w:rPr>
          <w:t>https://www.cms.gov/files/document/2023medicarefee-servicesupplementalimproperpaymentdatapdf.pdf</w:t>
        </w:r>
      </w:hyperlink>
      <w:r>
        <w:t xml:space="preserve"> - This document provides data on improper payments in Medicare services, detailing the gross improper payment rates for various services from 2017 to 2022. It includes information on the total improper payment amounts and rates for each year, offering insights into the financial impact of improper payments on the Medicare program.</w:t>
      </w:r>
      <w:r/>
    </w:p>
    <w:p>
      <w:pPr>
        <w:pStyle w:val="ListNumber"/>
        <w:spacing w:line="240" w:lineRule="auto"/>
        <w:ind w:left="720"/>
      </w:pPr>
      <w:r/>
      <w:hyperlink r:id="rId16">
        <w:r>
          <w:rPr>
            <w:color w:val="0000EE"/>
            <w:u w:val="single"/>
          </w:rPr>
          <w:t>https://www.forbes.com/sites/cfo/2025/10/14/why-97-of-companies-arent-ready-for-ma/</w:t>
        </w:r>
      </w:hyperlink>
      <w:r>
        <w:t xml:space="preserve"> - This article discusses the readiness of companies for mergers and acquisitions (M&amp;A), highlighting that 97% of companies are not ready to move forward with a transaction. It emphasizes the importance of having an integrated governance, risk, and compliance system that shares data seamlessly to avoid complications and errors, especially when using manual systems like spreadsheets.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putermarketresearch.com/channel-partner-incentive-programs-the-2026-strategic-guide-to-roi/?utm_source=rss&amp;utm_medium=rss&amp;utm_campaign=channel-partner-incentive-programs-the-2026-strategic-guide-to-roi" TargetMode="External"/><Relationship Id="rId11" Type="http://schemas.openxmlformats.org/officeDocument/2006/relationships/hyperlink" Target="https://www.backwelltechcorp.com/en/pages/97CC538E-E886-11EE-9D98-8187D36AB79A%2C2C26705A-0848-417B-B823-30AD086C7C76%2C1F9CC5B0-6E18-11F0-A88E-F2059C908C71/" TargetMode="External"/><Relationship Id="rId12" Type="http://schemas.openxmlformats.org/officeDocument/2006/relationships/hyperlink" Target="https://www.channelnomics.com/insights/ccc-recap-partners-say-programs-are-too-complex" TargetMode="External"/><Relationship Id="rId13" Type="http://schemas.openxmlformats.org/officeDocument/2006/relationships/hyperlink" Target="https://www.clearfunction.com/insights/erp-the-hidden-revenue-leakage-in-healthcare" TargetMode="External"/><Relationship Id="rId14" Type="http://schemas.openxmlformats.org/officeDocument/2006/relationships/hyperlink" Target="https://www.profitoptics.com/insights/the-hidden-cost-of-chargeback-errors-and-how-healthcare-companies-can-reclaim-lost-margin" TargetMode="External"/><Relationship Id="rId15" Type="http://schemas.openxmlformats.org/officeDocument/2006/relationships/hyperlink" Target="https://www.cms.gov/files/document/2023medicarefee-servicesupplementalimproperpaymentdatapdf.pdf" TargetMode="External"/><Relationship Id="rId16" Type="http://schemas.openxmlformats.org/officeDocument/2006/relationships/hyperlink" Target="https://www.forbes.com/sites/cfo/2025/10/14/why-97-of-companies-arent-ready-for-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