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face ongoing disruptions as firms are urged to adapt through strategic foresight and digital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Supply chains have shifted from episodic crisis management to a baseline of continuous disruption, forcing firms and governments to rethink how goods are produced, moved and regulated. According to the World Economic Forum's Global Value Chains Outlook 2026, a confluence of geopolitical fragmentation, rapid technological change, resource limits and the energy transition transformed 2025 into a year of sweeping trade reconfiguration: tariff escalations between major economies reshuffled more than $400 billion in trade flows, disruptions along key maritime routes pushed container shipping costs up roughly 40% year‑on‑year, and governments enacted in excess of 3,000 new trade and industrial policy measures. The report argues businesses must “re-architect operations for agility, trust and digital foresight.” </w:t>
      </w:r>
      <w:r/>
    </w:p>
    <w:p>
      <w:r/>
      <w:r>
        <w:t xml:space="preserve">Those shifts are already altering corporate strategy. The Forum’s survey of senior executives found nearly three quarters see resilience investments as growth drivers, and the organisation has rolled out tools such as the Manufacturing and Supply Chain Readiness Navigator to help policy‑makers and firms evaluate where to locate production and how to balance risk, capacity and strategic autonomy. According to CEP‑Research and other analysts, that guidance is intended to help firms move beyond stopgap fixes toward long‑term decisions on industrial footprint and investment that reflect a more fragmented global economy. </w:t>
      </w:r>
      <w:r/>
    </w:p>
    <w:p>
      <w:r/>
      <w:r>
        <w:t xml:space="preserve">Industry practitioners describe the modern supply chain as a landscape of permanent contingency. Jon Gold, vice president for supply chain and customs policy at the National Retail Federation, pointed to a sequence of shocks, the initial China tariffs under the first Trump administration, the pandemic, Houthi attacks in the Red Sea, sweeping tariffs later, and the recent Middle East conflict, and warned that “It’s no longer ‘what if’ something happens, but ‘when’ a disruptive event will occur.” He urged scenario planning, frequent supplier‑network reviews, tighter cross‑functional collaboration and C‑suite backing for investments in visibility, predictive analytics and automation so companies can “gain real‑time insights and react quickly when things change.” </w:t>
      </w:r>
      <w:r/>
    </w:p>
    <w:p>
      <w:r/>
      <w:r>
        <w:t xml:space="preserve">Commercial software and labelling suppliers see the response as technological as well as strategic. Research from Loftware, based on a survey of more than 400 supply‑chain professionals, identifies five converging trends: migration from siloed systems to connected networks that share data across suppliers and producers, an increasingly volatile regulatory and tariff environment, the rise of smart packaging as a traceability and engagement tool, heightened emphasis on authenticity and product provenance, and a push toward autonomous, AI‑driven decision‑making. Jim Bureau, Loftware’s president and CEO, said: “Our research shows that organizations adopting connected networks, cloud platforms, and AI‑driven insights are not just surviving disruption but turning it into opportunity.” </w:t>
      </w:r>
      <w:r/>
    </w:p>
    <w:p>
      <w:r/>
      <w:r>
        <w:t xml:space="preserve">For many manufacturers and asset‑intensive organisations, tariffs have ceased to be exceptional and are now treated as an enduring cost of doing business. SDI’s analysis finds an elevated tariff baseline from late 2025, with new enforcement mechanisms extending exposure into indirect and MRO spend categories, prompting procurement teams to revisit supplier sourcing and classification. Logistics publications and risk monitors have reinforced that message, noting growing pessimism among experts about the near‑term global outlook and flagging geoeconomic confrontation as a leading near‑term risk. </w:t>
      </w:r>
      <w:r/>
    </w:p>
    <w:p>
      <w:r/>
      <w:r>
        <w:t xml:space="preserve">The picture that emerges is one of dual pressure: heightened downside from political and natural shocks, and upside for firms that can convert flexibility into competitive advantage. The World Ports Organization and MHL News, reflecting the Forum’s broader risk‑assessment work, warn that state rivalry, extreme weather and social fractures could make economic shocks both more frequent and harder to coordinate around. Yet the same assessments indicate that coordinated investment in visibility, cloud integration and regulated transparency could reduce friction and lower the cost of volatility over time. </w:t>
      </w:r>
      <w:r/>
    </w:p>
    <w:p>
      <w:r/>
      <w:r>
        <w:t>The policy implication is clear: firms should no longer treat resilience investment as optional, while governments will need to balance industrial policy, trade rules and cooperation mechanisms to avoid fragmenting supply chains into inefficient, costly blocs. As industry and policy actors adapt, the new operating reality will reward organisations that combine strategic foresight with interoperable technology and diversified supplier ecosystems, even as the global trade map continues to redraw itself.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https://retailwire.com/discussion/supply-chain-volatility-here-stay/</w:t>
        </w:r>
      </w:hyperlink>
      <w:r>
        <w:t xml:space="preserve"> - Please view link - unable to able to access data</w:t>
      </w:r>
      <w:r/>
    </w:p>
    <w:p>
      <w:pPr>
        <w:pStyle w:val="ListNumber"/>
        <w:spacing w:line="240" w:lineRule="auto"/>
        <w:ind w:left="720"/>
      </w:pPr>
      <w:r/>
      <w:hyperlink r:id="rId11">
        <w:r>
          <w:rPr>
            <w:color w:val="0000EE"/>
            <w:u w:val="single"/>
          </w:rPr>
          <w:t>https://www.weforum.org/reports/global-value-chains-outlook-2026-orchestrating-corporate-and-national-agility</w:t>
        </w:r>
      </w:hyperlink>
      <w:r>
        <w:t xml:space="preserve"> - The World Economic Forum's 'Global Value Chains Outlook 2026' report highlights that global supply chains have entered an era of structural volatility. Factors such as geopolitical fragmentation, accelerating technological change, and resource constraints are reshaping trade dynamics. In 2025, tariff escalations between major economies reshuffled over $400 billion in global trade flows, and disruptions across major shipping routes led to a 40% year-on-year increase in container shipping costs. The report emphasizes the need for companies to redesign supply chains for agility, trust, and digital foresight.</w:t>
      </w:r>
      <w:r/>
    </w:p>
    <w:p>
      <w:pPr>
        <w:pStyle w:val="ListNumber"/>
        <w:spacing w:line="240" w:lineRule="auto"/>
        <w:ind w:left="720"/>
      </w:pPr>
      <w:r/>
      <w:hyperlink r:id="rId12">
        <w:r>
          <w:rPr>
            <w:color w:val="0000EE"/>
            <w:u w:val="single"/>
          </w:rPr>
          <w:t>https://www.weforum.org/press/2026/01/global-supply-chains-enter-era-of-structural-volatility-world-economic-forum-report-finds/</w:t>
        </w:r>
      </w:hyperlink>
      <w:r>
        <w:t xml:space="preserve"> - The World Economic Forum's press release on the 'Global Value Chains Outlook 2026' report reveals that nearly 74% of business leaders now prioritize resilience investments, viewing them as drivers of growth. The report underscores that supply chain disruptions are no longer temporary but structural, urging companies and governments to adapt to this new reality. It introduces the Manufacturing and Supply Chain Readiness Navigator, a tool designed to support strategic decision-making on industrial policy and manufacturing footprint design.</w:t>
      </w:r>
      <w:r/>
    </w:p>
    <w:p>
      <w:pPr>
        <w:pStyle w:val="ListNumber"/>
        <w:spacing w:line="240" w:lineRule="auto"/>
        <w:ind w:left="720"/>
      </w:pPr>
      <w:r/>
      <w:hyperlink r:id="rId13">
        <w:r>
          <w:rPr>
            <w:color w:val="0000EE"/>
            <w:u w:val="single"/>
          </w:rPr>
          <w:t>https://www.cep-research.com/2026/01/19/supply-chains-enter-era-of-structural-volatility/</w:t>
        </w:r>
      </w:hyperlink>
      <w:r>
        <w:t xml:space="preserve"> - CEP-Research discusses the World Economic Forum's report, noting that global supply chains have entered an era of structural volatility. The report highlights significant policy changes and shifting trade flows in 2025, including US tariffs and China's export push in Europe and Asia. It emphasizes the need for companies and governments to reevaluate investment and production strategies in response to persistent disruptions. The report also introduces the Manufacturing and Supply Chain Readiness Navigator to help assess manufacturing risks and strengths.</w:t>
      </w:r>
      <w:r/>
    </w:p>
    <w:p>
      <w:pPr>
        <w:pStyle w:val="ListNumber"/>
        <w:spacing w:line="240" w:lineRule="auto"/>
        <w:ind w:left="720"/>
      </w:pPr>
      <w:r/>
      <w:hyperlink r:id="rId14">
        <w:r>
          <w:rPr>
            <w:color w:val="0000EE"/>
            <w:u w:val="single"/>
          </w:rPr>
          <w:t>https://www.sdi.com/resources/blog/2026-tariff-reality-check/</w:t>
        </w:r>
      </w:hyperlink>
      <w:r>
        <w:t xml:space="preserve"> - SDI's blog post highlights that tariffs have become a permanent operating condition for manufacturers and asset-intensive organizations. The post discusses how the elevated tariff baseline from late 2025 remains in place, with new enforcement mechanisms and supplier-side adjustments expanding exposure across Maintenance, Repair, and Operations (MRO) and indirect spend categories. It emphasizes the need for organizations to adapt to this structurally volatile trade environment, particularly in MRO, where volatility hits first and hardest.</w:t>
      </w:r>
      <w:r/>
    </w:p>
    <w:p>
      <w:pPr>
        <w:pStyle w:val="ListNumber"/>
        <w:spacing w:line="240" w:lineRule="auto"/>
        <w:ind w:left="720"/>
      </w:pPr>
      <w:r/>
      <w:hyperlink r:id="rId15">
        <w:r>
          <w:rPr>
            <w:color w:val="0000EE"/>
            <w:u w:val="single"/>
          </w:rPr>
          <w:t>https://www.mhlnews.com/global-supply-chain/news/55352940/global-risks-in-2026-world-economic-forum</w:t>
        </w:r>
      </w:hyperlink>
      <w:r>
        <w:t xml:space="preserve"> - MHL News reports on the World Economic Forum's 'Global Risks Report 2026', highlighting that uncertainty is the defining theme of the global risks outlook. The report indicates that 50% of respondents anticipate a turbulent or stormy outlook over the next two years, with pessimism deepening over a 10-year horizon. It underscores the need for companies and governments to adapt to a new age of competition, where cooperation is increasingly strained by national interests and strategic rivalries.</w:t>
      </w:r>
      <w:r/>
    </w:p>
    <w:p>
      <w:pPr>
        <w:pStyle w:val="ListNumber"/>
        <w:spacing w:line="240" w:lineRule="auto"/>
        <w:ind w:left="720"/>
      </w:pPr>
      <w:r/>
      <w:hyperlink r:id="rId16">
        <w:r>
          <w:rPr>
            <w:color w:val="0000EE"/>
            <w:u w:val="single"/>
          </w:rPr>
          <w:t>https://www.worldports.org/world-economic-forum-releases-global-risks-report-2026/</w:t>
        </w:r>
      </w:hyperlink>
      <w:r>
        <w:t xml:space="preserve"> - The World Ports Organization discusses the World Economic Forum's 'Global Risks Report 2026', which identifies geoeconomic confrontation as the top near-term risk, followed by state-based conflict, extreme weather, societal polarization, and misinformation. The report highlights a sharp escalation in geopolitical, economic, and technological risks, underscoring growing uncertainty in global governance, economic stability, and social cohesion. It warns that economic shocks may become more frequent and harder to manage as coordination between major economies weakens.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wire.com/discussion/supply-chain-volatility-here-stay/" TargetMode="External"/><Relationship Id="rId11" Type="http://schemas.openxmlformats.org/officeDocument/2006/relationships/hyperlink" Target="https://www.weforum.org/reports/global-value-chains-outlook-2026-orchestrating-corporate-and-national-agility" TargetMode="External"/><Relationship Id="rId12" Type="http://schemas.openxmlformats.org/officeDocument/2006/relationships/hyperlink" Target="https://www.weforum.org/press/2026/01/global-supply-chains-enter-era-of-structural-volatility-world-economic-forum-report-finds/" TargetMode="External"/><Relationship Id="rId13" Type="http://schemas.openxmlformats.org/officeDocument/2006/relationships/hyperlink" Target="https://www.cep-research.com/2026/01/19/supply-chains-enter-era-of-structural-volatility/" TargetMode="External"/><Relationship Id="rId14" Type="http://schemas.openxmlformats.org/officeDocument/2006/relationships/hyperlink" Target="https://www.sdi.com/resources/blog/2026-tariff-reality-check/" TargetMode="External"/><Relationship Id="rId15" Type="http://schemas.openxmlformats.org/officeDocument/2006/relationships/hyperlink" Target="https://www.mhlnews.com/global-supply-chain/news/55352940/global-risks-in-2026-world-economic-forum" TargetMode="External"/><Relationship Id="rId16" Type="http://schemas.openxmlformats.org/officeDocument/2006/relationships/hyperlink" Target="https://www.worldports.org/world-economic-forum-releases-global-risks-repor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