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Supermajors tighten digital and sustainability standards in 2026 procurement race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commercial rules for selling into the major international oil companies have hardened. Suppliers that once prospered on broad claims of “innovation” or vague platform promises now find procurement teams demanding precise, measurable improvements to the balance sheet and operations. In 2026, ExxonMobil, Chevron and Shell evaluate offers primarily on three dimensions: return on invested capital, demonstrable reductions in carbon intensity, and labour efficiency. Vendors that fail to align their technical and financial narratives to those priorities are filtered out early.</w:t>
      </w:r>
      <w:r/>
    </w:p>
    <w:p>
      <w:r/>
      <w:r>
        <w:t>The buying cycle has shifted from exploratory pilots to full-scale execution. Company statements and industry reporting indicate the majors are concentrating investment where technologies can be integrated into existing digital ecosystems rather than deployed as isolated tools. According to Shell, its digitalisation strategy prioritises interoperability across AI, robotics and computational systems to lift efficiency, safety and low‑carbon delivery, signalling that prospective suppliers must show how their products plug into the operator’s broader technology stack. ExxonMobil’s corporate plan through 2030 similarly emphasises profitable growth, cost discipline and proprietary technology deployment to raise returns and cash flow, underscoring the financial lens applied to procurement decisions.</w:t>
      </w:r>
      <w:r/>
    </w:p>
    <w:p>
      <w:r/>
      <w:r>
        <w:t>Three decision-making audiences govern purchase outcomes, and successful commercial campaigns must address each in the recipient’s language. For the CFO and procurement teams the conversation is about total cost of ownership, time to value and the solution’s impact on unit economics. Industry data and corporate plans make clear the majors favour investments that boost ROIC even at the expense of volume increases; suppliers should centre modelling on unit‑cost improvements, extended asset life and measurable headcount or OPEX reductions.</w:t>
      </w:r>
      <w:r/>
    </w:p>
    <w:p>
      <w:r/>
      <w:r>
        <w:t>Chief technology officers and IT organisations prioritise interoperability, data standards and cyber‑resilience. Shell’s emphasis on open innovation and ExxonMobil’s stated focus on proprietary technology that scales mean software and hardware must conform to standard protocols, export high‑fidelity emissions and performance data via APIs, and avoid creating data silos. Demonstrable compliance with security frameworks and the ability to supply a transparent Software Bill of Materials materially accelerate technical approval processes.</w:t>
      </w:r>
      <w:r/>
    </w:p>
    <w:p>
      <w:r/>
      <w:r>
        <w:t>Field operations care about uptime, safety and ease of use. Operational managers will only adopt solutions that reduce cognitive load on crews, stand up to harsh environments and deliver clear, actionable maintenance or reliability gains. Suppliers that can show mean time between failure improvements, reduced unplanned downtime and simplified workflows win local champions who can carry proposals into procurement reviews.</w:t>
      </w:r>
      <w:r/>
    </w:p>
    <w:p>
      <w:r/>
      <w:r>
        <w:t>Technical audits have become determinative. Open standards and edge-capable architectures are now procurement prerequisites rather than optional features. The majors’ remote assets force an “edge‑to‑cloud” deployment model in which critical processing occurs at the point of operations and only distilled, high‑value telemetry is transmitted centrally to reduce latency and satellite bandwidth costs. Where systems cannot interoperate using industrial protocols or cannot run resiliently at the edge, commercial discussions often stall during the first technical gate review.</w:t>
      </w:r>
      <w:r/>
    </w:p>
    <w:p>
      <w:r/>
      <w:r>
        <w:t>Environmental metrics are embedded into procurement scoring. Shell, in particular, evaluates suppliers on carbon‑intensity data that must integrate into sustainability reporting engines. The capacity to supply verifiable emissions measurements, ideally in machine‑readable formats that feed corporate reporting, has moved from a competitive advantage to a gating requirement. Suppliers unable to export trusted, third‑party‑verifiable emissions data are frequently deemed ineligible.</w:t>
      </w:r>
      <w:r/>
    </w:p>
    <w:p>
      <w:r/>
      <w:r>
        <w:t>Cybersecurity posture is a material differentiator. With energy infrastructure a high‑value target for state and non‑state actors, vendors who can demonstrate adherence to recognised frameworks and provide auditable software supply chains remove months from security clearance cycles. The ability to “verify then integrate” is now a central theme in procurement decision trees.</w:t>
      </w:r>
      <w:r/>
    </w:p>
    <w:p>
      <w:r/>
      <w:r>
        <w:t>The discovery and validation pathway that leads to a master services agreement is elongated and data‑driven. Market practitioners describe typical timelines to MSA as 18–24 months; each interaction must generate evidence that maps to the majors’ KPIs. Early stages should focus on authority building, publishing rigorous, niche annual reports and contributing to respected industry forums, so that automated and human search processes surface the vendor as a subject‑matter expert. Once engaged, one‑page solution briefs tailored to the CFO, CTO and operations sponsor should provide aligned KPIs: unit cost per barrel, MTBF and carbon intensity scores.</w:t>
      </w:r>
      <w:r/>
    </w:p>
    <w:p>
      <w:r/>
      <w:r>
        <w:t>Search and AI discovery now influence buy‑side behaviour. As Shell and others digitalise procurement, internal AI agents increasingly surface vendor options; suppliers therefore must structure public content for machine consumption. Clear, factual headers, concise Q&amp;A snippets and verified data points improve the chances of being cited by internal LLMs. Practical content tactics include creating a pillar “state of the industry” asset, distilled persona briefs, and short Q&amp;A blocks optimised for AI scraping, materials designed for both human readers and algorithmic vetting.</w:t>
      </w:r>
      <w:r/>
    </w:p>
    <w:p>
      <w:r/>
      <w:r>
        <w:t>Capital allocation trends reinforce the strategic posture of the buyers. Industry analysis shows the majors are cautious with upstream capex; aggregate exploration and production spending across the large integrated companies remains subdued relative to pre‑pandemic levels. That restraint, combined with ExxonMobil’s and Chevron’s public emphasis on advantaged production and execution excellence, means procurement teams favour solutions that demonstrably raise returns on existing portfolios rather than those that seek to enable large new-volume programmes.</w:t>
      </w:r>
      <w:r/>
    </w:p>
    <w:p>
      <w:r/>
      <w:r>
        <w:t>For suppliers, the commercial implications are concrete. Proposals must marry a robust technical architecture, edge processing, open protocols, API‑first telemetry and hardened security, with rigorous financial modelling that quantifies ROIC uplift, labour savings and carbon intensity reductions. Case studies should mirror the exact metrics the majors use. Public positioning must demonstrate both offline credibility via sector networks and online AI visibility so internal discovery tools and procurement algorithms rank the vendor as authoritative.</w:t>
      </w:r>
      <w:r/>
    </w:p>
    <w:p>
      <w:r/>
      <w:r>
        <w:t>The balance between risk and reward is changing. The companies that now dominate the sector have reframed procurement to allocate capital sparingly and to demand measurable outcomes. Vendors that adapt, presenting verifiable, interoperable solutions that reduce unit‑cost risk and feed corporate sustainability workflows, are the ones most likely to win long‑term, integrated contracts in 2026’s hardened market. "Success in the modern energy sector requires a fundamental shift in how we view the supply chain. We are moving toward a highly integrated, data-transparent partnership model where vendors are expected to share in the risk and the reward of operational outcomes." , World Oil Magazine</w:t>
      </w:r>
      <w:r/>
    </w:p>
    <w:p>
      <w:r/>
      <w:r>
        <w:t>If a supplier’s commercial materials and technical architecture do not reflect these priorities, they will struggle to progress beyond early vetting in the Supermajors’ tightly disciplined procurement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https://modalpoint.com/blog/sell-to-exxonmobil-chevron-shell-2026/</w:t>
        </w:r>
      </w:hyperlink>
      <w:r>
        <w:t xml:space="preserve"> - Please view link - unable to able to access data</w:t>
      </w:r>
      <w:r/>
    </w:p>
    <w:p>
      <w:pPr>
        <w:pStyle w:val="ListNumber"/>
        <w:spacing w:line="240" w:lineRule="auto"/>
        <w:ind w:left="720"/>
      </w:pPr>
      <w:r/>
      <w:hyperlink r:id="rId11">
        <w:r>
          <w:rPr>
            <w:color w:val="0000EE"/>
            <w:u w:val="single"/>
          </w:rPr>
          <w:t>https://www.shell.com/energy-and-innovation/digitalisation.html</w:t>
        </w:r>
      </w:hyperlink>
      <w:r>
        <w:t xml:space="preserve"> - Shell's digitalisation efforts are transforming the energy sector by enhancing efficiency, safety, and enabling low-carbon energy solutions. The company invests in open innovation, AI, blockchain, computational science, robotics, 3D printing, and AR/VR technologies to improve operations and customer experiences. Digitalisation supports process improvements, cost reductions, increased production, and higher customer margins. Shell collaborates with leading tech providers to accelerate and scale digitalisation across its businesses, aiming to achieve a net-zero emissions future through digital technologies.</w:t>
      </w:r>
      <w:r/>
    </w:p>
    <w:p>
      <w:pPr>
        <w:pStyle w:val="ListNumber"/>
        <w:spacing w:line="240" w:lineRule="auto"/>
        <w:ind w:left="720"/>
      </w:pPr>
      <w:r/>
      <w:hyperlink r:id="rId12">
        <w:r>
          <w:rPr>
            <w:color w:val="0000EE"/>
            <w:u w:val="single"/>
          </w:rPr>
          <w:t>https://corporate.exxonmobil.com/news/events/2025/delivering-higher-earnings-stronger-cash-flow-and-greater-returns</w:t>
        </w:r>
      </w:hyperlink>
      <w:r>
        <w:t xml:space="preserve"> - ExxonMobil's updated Corporate Plan through 2030 focuses on profitable growth and shareholder value by investing in high-value opportunities, delivering industry-leading execution and cost management, accelerating proprietary technology deployment, and creating leading shareholder value. The plan aims for earnings growth of approximately $25 billion by 2030 compared to 2024, cash flow growth of around $35 billion, a return on capital employed exceeding 17%, and upstream advantaged production constituting about 65% of total production by 2030.</w:t>
      </w:r>
      <w:r/>
    </w:p>
    <w:p>
      <w:pPr>
        <w:pStyle w:val="ListNumber"/>
        <w:spacing w:line="240" w:lineRule="auto"/>
        <w:ind w:left="720"/>
      </w:pPr>
      <w:r/>
      <w:hyperlink r:id="rId13">
        <w:r>
          <w:rPr>
            <w:color w:val="0000EE"/>
            <w:u w:val="single"/>
          </w:rPr>
          <w:t>https://www.spglobal.com/energy/en/news-research/latest-news/crude-oil/123125-commodities-2026-industry-calls-for-more-oil-but-capex-spending-sees-muted-growth</w:t>
        </w:r>
      </w:hyperlink>
      <w:r>
        <w:t xml:space="preserve"> - Despite calls for increased upstream investment, total exploration and production spending from the seven majors—ExxonMobil, Chevron, BP, TotalEnergies, Equinor, Eni, and Shell—is expected to rise slightly in 2026. However, this spending remains flat since 2023 and well below pre-pandemic levels, indicating a cautious approach to capital expenditure in the industry.</w:t>
      </w:r>
      <w:r/>
    </w:p>
    <w:p>
      <w:pPr>
        <w:pStyle w:val="ListNumber"/>
        <w:spacing w:line="240" w:lineRule="auto"/>
        <w:ind w:left="720"/>
      </w:pPr>
      <w:r/>
      <w:hyperlink r:id="rId14">
        <w:r>
          <w:rPr>
            <w:color w:val="0000EE"/>
            <w:u w:val="single"/>
          </w:rPr>
          <w:t>https://markets.chroniclejournal.com/chroniclejournal/article/finterra-2026-3-23-exxonmobil-xom-in-2026-the-molecular-giants-high-stakes-rebirth</w:t>
        </w:r>
      </w:hyperlink>
      <w:r>
        <w:t xml:space="preserve"> - As of March 23, 2026, ExxonMobil has transformed from a traditional fossil fuel company into an integrated energy and molecular management giant. The company has restructured its portfolio to become a low-cost production powerhouse while building a commercially viable green energy arm, positioning itself as a leader in the evolving energy landscape.</w:t>
      </w:r>
      <w:r/>
    </w:p>
    <w:p>
      <w:pPr>
        <w:pStyle w:val="ListNumber"/>
        <w:spacing w:line="240" w:lineRule="auto"/>
        <w:ind w:left="720"/>
      </w:pPr>
      <w:r/>
      <w:hyperlink r:id="rId15">
        <w:r>
          <w:rPr>
            <w:color w:val="0000EE"/>
            <w:u w:val="single"/>
          </w:rPr>
          <w:t>https://business.ricentral.com/ricentral/article/marketminute-2026-2-2-execution-excellence-exxonmobil-shatters-production-records-and-accelerates-2030-targets</w:t>
        </w:r>
      </w:hyperlink>
      <w:r>
        <w:t xml:space="preserve"> - ExxonMobil reported a record fourth-quarter earnings result on February 2, 2026, marking a historic year of operational milestones and financial dominance. The company reached a 40-year production high of 5.0 million oil-equivalent barrels per day in the fourth quarter, demonstrating the success of its consolidation strategy and integration of Pioneer Natural Resources.</w:t>
      </w:r>
      <w:r/>
    </w:p>
    <w:p>
      <w:pPr>
        <w:pStyle w:val="ListNumber"/>
        <w:spacing w:line="240" w:lineRule="auto"/>
        <w:ind w:left="720"/>
      </w:pPr>
      <w:r/>
      <w:hyperlink r:id="rId16">
        <w:r>
          <w:rPr>
            <w:color w:val="0000EE"/>
            <w:u w:val="single"/>
          </w:rPr>
          <w:t>https://www.financialcontent.com/article/finterra-2026-3-19-shell-plc-shel-the-strategic-pivot-of-a-global-energy-titan</w:t>
        </w:r>
      </w:hyperlink>
      <w:r>
        <w:t xml:space="preserve"> - Shell competes in a 'supermajor' class that has effectively split into two camps: the American 'Aggressives' and the European 'Transitioners.' Shell's goal in 2026 is to close this 'valuation gap' by leveraging its Trading &amp; Supply division, which holds a 16% share of the global LNG market, allowing it to optimize profits during market volatility.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odalpoint.com/blog/sell-to-exxonmobil-chevron-shell-2026/" TargetMode="External"/><Relationship Id="rId11" Type="http://schemas.openxmlformats.org/officeDocument/2006/relationships/hyperlink" Target="https://www.shell.com/energy-and-innovation/digitalisation.html" TargetMode="External"/><Relationship Id="rId12" Type="http://schemas.openxmlformats.org/officeDocument/2006/relationships/hyperlink" Target="https://corporate.exxonmobil.com/news/events/2025/delivering-higher-earnings-stronger-cash-flow-and-greater-returns" TargetMode="External"/><Relationship Id="rId13" Type="http://schemas.openxmlformats.org/officeDocument/2006/relationships/hyperlink" Target="https://www.spglobal.com/energy/en/news-research/latest-news/crude-oil/123125-commodities-2026-industry-calls-for-more-oil-but-capex-spending-sees-muted-growth" TargetMode="External"/><Relationship Id="rId14" Type="http://schemas.openxmlformats.org/officeDocument/2006/relationships/hyperlink" Target="https://markets.chroniclejournal.com/chroniclejournal/article/finterra-2026-3-23-exxonmobil-xom-in-2026-the-molecular-giants-high-stakes-rebirth" TargetMode="External"/><Relationship Id="rId15" Type="http://schemas.openxmlformats.org/officeDocument/2006/relationships/hyperlink" Target="https://business.ricentral.com/ricentral/article/marketminute-2026-2-2-execution-excellence-exxonmobil-shatters-production-records-and-accelerates-2030-targets" TargetMode="External"/><Relationship Id="rId16" Type="http://schemas.openxmlformats.org/officeDocument/2006/relationships/hyperlink" Target="https://www.financialcontent.com/article/finterra-2026-3-19-shell-plc-shel-the-strategic-pivot-of-a-global-energy-tit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