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France’s new energy landscape transforms corporate procurement into a strategic tool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French companies are being pushed into a new era of energy buying, one in which procurement is tied as much to regulation and carbon strategy as to price. The end of the ARENH framework, which for years gave firms access to a slice of nuclear electricity at a regulated €42/MWh, is forcing buyers to rethink how they secure supply and manage risk. According to industry summaries of the change, the old model is giving way to longer-term contracting and redistribution mechanisms designed to soften the impact of volatility, while businesses must also adapt to France’s purchasing-power protections and the RE2020 framework. </w:t>
      </w:r>
      <w:r/>
    </w:p>
    <w:p>
      <w:r/>
      <w:r>
        <w:t xml:space="preserve">RE2020 has become one of the clearest signals that energy policy is now feeding directly into corporate decision-making. France’s environment ministry says the regulation, which came into force in 2022 for new buildings, is built around improving energy performance, cutting life-cycle carbon emissions and strengthening comfort during summer heatwaves. Other sector briefings note that the rules are being phased in across housing and tertiary buildings, with tighter treatment of carbon-intensive energy and tougher expectations for the built environment. </w:t>
      </w:r>
      <w:r/>
    </w:p>
    <w:p>
      <w:r/>
      <w:r>
        <w:t xml:space="preserve">That shift is encouraging companies to move from simply paying bills to actively managing energy exposure. In practice, that means choosing between fixed-price contracts for certainty and indexed deals that can capture market dips, even if they leave buyers more exposed to swings. It also explains why procurement is increasingly being treated as a risk function rather than a back-office utility task. </w:t>
      </w:r>
      <w:r/>
    </w:p>
    <w:p>
      <w:r/>
      <w:r>
        <w:t xml:space="preserve">Renewable sourcing is becoming central to that response. Large industrial users are turning to corporate power purchase agreements, which allow them to lock in supply directly with renewable developers and signal a concrete contribution to France’s transition. Others are installing solar panels on roofs and parking canopies, a route that can reduce dependence on the grid while limiting some network-related charges. Smaller firms are more likely to stay with retail suppliers, using guarantees of origin and certified green tariffs from incumbents and challengers alike to match consumption with renewable generation without major capital spending. </w:t>
      </w:r>
      <w:r/>
    </w:p>
    <w:p>
      <w:r/>
      <w:r>
        <w:t xml:space="preserve">Cost reduction, however, is still anchored in basic efficiency. The article’s core point holds: the cheapest unit of electricity is the one never used. Energy management systems, including ISO 50001 approaches and digital monitoring tools, can expose waste in heating, ventilation and industrial processes and deliver quick savings. Demand-side response is another lever, with France’s grid operator, RTE, paying firms that cut usage at peak times, turning flexibility into a revenue stream as well as a grid service. </w:t>
      </w:r>
      <w:r/>
    </w:p>
    <w:p>
      <w:r/>
      <w:r>
        <w:t xml:space="preserve">Companies are also taking a more tactical approach to hedging. Rather than fixing all of their future consumption at one moment, many are spreading purchases through the year in staged contracts, averaging out prices and reducing the risk of locking in during a market spike. In a volatile market, that can be as important as the choice of supplier. </w:t>
      </w:r>
      <w:r/>
    </w:p>
    <w:p>
      <w:r/>
      <w:r>
        <w:t xml:space="preserve">The supplier landscape itself is increasingly segmented. EDF and Engie remain the natural fit for large industrial groups that need scale, stability and complex multi-site management. More agile providers such as Ohm Énergie and Ekwateur are pitching transparency, digital tools and greener products to mid-sized customers. Aggregators, meanwhile, are carving out a role for firms that want to monetise flexibility through demand-response schemes. </w:t>
      </w:r>
      <w:r/>
    </w:p>
    <w:p>
      <w:r/>
      <w:r>
        <w:t xml:space="preserve">The broader direction of travel is clear enough: French businesses are being nudged from passive consumers towards active “prosumers”, blending self-generation, market purchasing and flexibility trading. In that model, energy is no longer just an overhead. It becomes a strategic asset, one that can lower emissions, improve resilience and, if managed well, sharpen competitiveness.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https://sustainablebusinessmagazine.net/decarbonisation/strategic-energy-procurement-in-france-balancing-costs-regulation-and-decarbonization/</w:t>
        </w:r>
      </w:hyperlink>
      <w:r>
        <w:t xml:space="preserve"> - Please view link - unable to able to access data</w:t>
      </w:r>
      <w:r/>
    </w:p>
    <w:p>
      <w:pPr>
        <w:pStyle w:val="ListNumber"/>
        <w:spacing w:line="240" w:lineRule="auto"/>
        <w:ind w:left="720"/>
      </w:pPr>
      <w:r/>
      <w:hyperlink r:id="rId11">
        <w:r>
          <w:rPr>
            <w:color w:val="0000EE"/>
            <w:u w:val="single"/>
          </w:rPr>
          <w:t>https://www.sirenergies.com/arehn-mechanism-france-energy</w:t>
        </w:r>
      </w:hyperlink>
      <w:r>
        <w:t xml:space="preserve"> - The ARENH (Regulated Access to Historic Nuclear Energy) mechanism in France allowed businesses to access a portion of their electricity at a fixed price of €42/MWh, derived from EDF’s historical nuclear fleet. This mechanism concluded in 2025/2026, prompting a shift towards a new regulatory model based on long-term contracts and redistribution mechanisms intended to protect consumers from extreme price volatility. Businesses must now navigate the Law on the Protection of Purchasing Power and the RE2020 environmental regulations, which emphasize energy sobriety and the reduction of carbon intensity. This transition requires companies to move from passive billing to active 'energy risk management,' choosing between fixed-price contracts for stability or indexed-price contracts to benefit from market dips.</w:t>
      </w:r>
      <w:r/>
    </w:p>
    <w:p>
      <w:pPr>
        <w:pStyle w:val="ListNumber"/>
        <w:spacing w:line="240" w:lineRule="auto"/>
        <w:ind w:left="720"/>
      </w:pPr>
      <w:r/>
      <w:hyperlink r:id="rId12">
        <w:r>
          <w:rPr>
            <w:color w:val="0000EE"/>
            <w:u w:val="single"/>
          </w:rPr>
          <w:t>https://www.brasseurs-air-re2020.com/en/information/re2020-what-is-the-2020-environmental-regulation/</w:t>
        </w:r>
      </w:hyperlink>
      <w:r>
        <w:t xml:space="preserve"> - RE2020 is the latest thermal regulation for new buildings in France, effective from 1 January 2022 for new housing and from 1 July 2022 for offices and educational establishments. It aims to improve energy performance by reducing energy consumption and decarbonising energy, decrease carbon impact by reducing emissions over the entire life cycle of the building, and ensure summer comfort by guaranteeing comfort in new buildings during hot weather. The regulation requires a 30% reduction in bioclimatic need (Bbio) compared to the previous thermal regulation, RT 2012, and heavily penalises carbon-based energies from 2022 for single-family homes and from 2025 for collective housing.</w:t>
      </w:r>
      <w:r/>
    </w:p>
    <w:p>
      <w:pPr>
        <w:pStyle w:val="ListNumber"/>
        <w:spacing w:line="240" w:lineRule="auto"/>
        <w:ind w:left="720"/>
      </w:pPr>
      <w:r/>
      <w:hyperlink r:id="rId13">
        <w:r>
          <w:rPr>
            <w:color w:val="0000EE"/>
            <w:u w:val="single"/>
          </w:rPr>
          <w:t>https://www.phosphoris.fr/en/energy-optimisation-and-renewable-energies/environmental-regulation-2020/</w:t>
        </w:r>
      </w:hyperlink>
      <w:r>
        <w:t xml:space="preserve"> - The Environmental Regulation 2020 (RE2020) is a new regulation in France that applies to new buildings, aiming for carbon neutrality by 2050. It focuses on improving energy performance by encouraging the replacement of fossil fuels with renewable energy, decreasing environmental impact by reducing carbon emissions over the entire life cycle of the building, and enhancing occupant comfort during hot weather. The regulation has been in effect since 1 July 2022 for office buildings and educational institutions, and it is part of France's broader strategy to address environmental challenges in the building sector.</w:t>
      </w:r>
      <w:r/>
    </w:p>
    <w:p>
      <w:pPr>
        <w:pStyle w:val="ListNumber"/>
        <w:spacing w:line="240" w:lineRule="auto"/>
        <w:ind w:left="720"/>
      </w:pPr>
      <w:r/>
      <w:hyperlink r:id="rId14">
        <w:r>
          <w:rPr>
            <w:color w:val="0000EE"/>
            <w:u w:val="single"/>
          </w:rPr>
          <w:t>https://www.ecologie.gouv.fr/revised-thermal-regulation-re2020_en</w:t>
        </w:r>
      </w:hyperlink>
      <w:r>
        <w:t xml:space="preserve"> - The revised thermal regulation (RE2020) for new buildings in France entered into force in 2022, replacing the existing regulation from 2012. The main objectives are to improve energy performance and comfort while reducing carbon impact. The regulation is based on three pillars: improving energy performance and reducing energy consumption of new buildings; reducing the carbon impact of new buildings by considering the entire life cycle; and adapting new buildings to climate change, particularly heatwaves during summer. This reform aims to transform construction techniques, industrial sectors, and energy solutions to control costs and upskill the workforce.</w:t>
      </w:r>
      <w:r/>
    </w:p>
    <w:p>
      <w:pPr>
        <w:pStyle w:val="ListNumber"/>
        <w:spacing w:line="240" w:lineRule="auto"/>
        <w:ind w:left="720"/>
      </w:pPr>
      <w:r/>
      <w:hyperlink r:id="rId15">
        <w:r>
          <w:rPr>
            <w:color w:val="0000EE"/>
            <w:u w:val="single"/>
          </w:rPr>
          <w:t>https://www.interregeurope.eu/good-practices/environmental-regulation-2020-re2020</w:t>
        </w:r>
      </w:hyperlink>
      <w:r>
        <w:t xml:space="preserve"> - The Environmental Regulation 2020 (RE2020) is a national regulation in France for all new buildings, effective from 1 January 2022. It combines energy and carbon criteria in buildings and addresses summer comfort. The regulation introduces a new framework on energy consumption to improve environmental performance and comfort. Requirements include a maximum heating consumption of 12 kWh/m² per year, and it applies to individual houses, collective housing, and specific tertiary buildings such as hotels, shops, and gymnasiums.</w:t>
      </w:r>
      <w:r/>
    </w:p>
    <w:p>
      <w:pPr>
        <w:pStyle w:val="ListNumber"/>
        <w:spacing w:line="240" w:lineRule="auto"/>
        <w:ind w:left="720"/>
      </w:pPr>
      <w:r/>
      <w:hyperlink r:id="rId16">
        <w:r>
          <w:rPr>
            <w:color w:val="0000EE"/>
            <w:u w:val="single"/>
          </w:rPr>
          <w:t>https://www.frenchplans.com/fr/re2020-france-thermal-regulations</w:t>
        </w:r>
      </w:hyperlink>
      <w:r>
        <w:t xml:space="preserve"> - France introduced the Environmental Regulation 2020 (RE2020) at the start of 2022, replacing the previous regulation from 2012. The phased implementation over three years creates a more rigorous benchmark for testing and evaluation of the built environment. The RE2020 aims to improve energy performance, reduce carbon emissions, and enhance occupant comfort during hot weather. It includes requirements such as assessing the possibility of overheating, considering building orientation, and detailing materials used, addressing limitations of the previous regulation.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stainablebusinessmagazine.net/decarbonisation/strategic-energy-procurement-in-france-balancing-costs-regulation-and-decarbonization/" TargetMode="External"/><Relationship Id="rId11" Type="http://schemas.openxmlformats.org/officeDocument/2006/relationships/hyperlink" Target="https://www.sirenergies.com/arehn-mechanism-france-energy" TargetMode="External"/><Relationship Id="rId12" Type="http://schemas.openxmlformats.org/officeDocument/2006/relationships/hyperlink" Target="https://www.brasseurs-air-re2020.com/en/information/re2020-what-is-the-2020-environmental-regulation/" TargetMode="External"/><Relationship Id="rId13" Type="http://schemas.openxmlformats.org/officeDocument/2006/relationships/hyperlink" Target="https://www.phosphoris.fr/en/energy-optimisation-and-renewable-energies/environmental-regulation-2020/" TargetMode="External"/><Relationship Id="rId14" Type="http://schemas.openxmlformats.org/officeDocument/2006/relationships/hyperlink" Target="https://www.ecologie.gouv.fr/revised-thermal-regulation-re2020_en" TargetMode="External"/><Relationship Id="rId15" Type="http://schemas.openxmlformats.org/officeDocument/2006/relationships/hyperlink" Target="https://www.interregeurope.eu/good-practices/environmental-regulation-2020-re2020" TargetMode="External"/><Relationship Id="rId16" Type="http://schemas.openxmlformats.org/officeDocument/2006/relationships/hyperlink" Target="https://www.frenchplans.com/fr/re2020-france-thermal-regu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