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uncertainty: strategies for business leaders in a volatile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Five years after the onset of the COVID-19 pandemic, the world continues to face significant challenges and uncertainties, with various forces contributing to an increasingly tumultuous environment. Unlike the earlier days of the pandemic when a singular, unknown virus disrupted daily life and economic stability, the current landscape is shaped by multiple influences, including global outages, advancements in artificial intelligence (AI), cyber threats, new tariffs, trade wars, and ongoing economic concerns.</w:t>
      </w:r>
      <w:r/>
    </w:p>
    <w:p>
      <w:r/>
      <w:r>
        <w:t>Amidst this complexity, business leaders may feel compelled to halt their planned initiatives and spending, adopting a wait-and-see strategy. However, experts caution that the current volatility is not transient, suggesting that a more proactive approach may yield positive results in the long term.</w:t>
      </w:r>
      <w:r/>
    </w:p>
    <w:p>
      <w:r/>
      <w:r>
        <w:t>According to a recent report from Forrester, identified strategies for success during such disruptive times include the mastery of three critical domains: spending and resource optimisation, change leadership, and risk management. The report draws on extensive research, insights from numerous client conversations, and years of expertise to offer a pathway for organisations seeking to thrive in periods of instability.</w:t>
      </w:r>
      <w:r/>
    </w:p>
    <w:p>
      <w:r/>
      <w:r>
        <w:t>The first area outlined is the need for organisations to ruthlessly optimise spending and focus their resources. This approach goes beyond mere cost-cutting; it involves streamlining operations, for example, by eliminating redundant software and renegotiating contracts to enhance efficiency and savings. It’s also essential to reassess modernisation plans, prioritising initiatives that would allow companies to remain agile and leverage advancements in technology, particularly AI.</w:t>
      </w:r>
      <w:r/>
    </w:p>
    <w:p>
      <w:r/>
      <w:r>
        <w:t>Effective change leadership is the second key domain discussed. In an era of continuous change, leaders are urged to become stabilising forces within their organisations by providing consistency and clarity. This entails balancing the management of current operations with the necessity of quick adaptation to new circumstances. Leaders should also establish two-way communication strategies to ensure transparency and maintain employee engagement, fostering a culture that prioritises continuous learning and skill development.</w:t>
      </w:r>
      <w:r/>
    </w:p>
    <w:p>
      <w:r/>
      <w:r>
        <w:t>The final focus is on embracing risk management. While external factors are unpredictable, businesses can adopt a holistic approach to managing risk by categorising it into three types: enterprise risks, which relate to strategic decisions; ecosystem risks arising from third-party relationships; and external risks tied to global factors such as trade policies and health crises. Understanding these risks and preparing scenario plans can better equip leaders to respond effectively to unforeseen challenges.</w:t>
      </w:r>
      <w:r/>
    </w:p>
    <w:p>
      <w:r/>
      <w:r>
        <w:t>The Forrester report provides actionable strategies within each of these domains, encouraging organisations to not only endure periods of volatility but also seize opportunities for innovation and profit. For businesses seeking a competitive advantage in an unpredictable world, mastering these areas could be key to long-term success. More detailed insights are available to Forrester clients, with future blog posts expected to distill further key takeaways from the report for a broader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https://www.gbta.org/business-travel-full-recovery-expected-by-2025/</w:t>
        </w:r>
      </w:hyperlink>
      <w:r>
        <w:t xml:space="preserve"> - This source highlights the economic challenges faced globally, particularly in business travel, and the recovery expected over time. It underscores the resilience needed in today's volatile economic environment.</w:t>
      </w:r>
      <w:r/>
    </w:p>
    <w:p>
      <w:pPr>
        <w:pStyle w:val="ListNumber"/>
        <w:spacing w:line="240" w:lineRule="auto"/>
        <w:ind w:left="720"/>
      </w:pPr>
      <w:r/>
      <w:hyperlink r:id="rId11">
        <w:r>
          <w:rPr>
            <w:color w:val="0000EE"/>
            <w:u w:val="single"/>
          </w:rPr>
          <w:t>https://www.kearney.com/service/global-business-policy-council/global-trends/2020-2025</w:t>
        </w:r>
      </w:hyperlink>
      <w:r>
        <w:t xml:space="preserve"> - Kearney’s report discusses global trends impacting businesses, including crises like COVID-19 and systemic inequalities, which align with the idea of multiple forces affecting the environment.</w:t>
      </w:r>
      <w:r/>
    </w:p>
    <w:p>
      <w:pPr>
        <w:pStyle w:val="ListNumber"/>
        <w:spacing w:line="240" w:lineRule="auto"/>
        <w:ind w:left="720"/>
      </w:pPr>
      <w:r/>
      <w:hyperlink r:id="rId12">
        <w:r>
          <w:rPr>
            <w:color w:val="0000EE"/>
            <w:u w:val="single"/>
          </w:rPr>
          <w:t>https://www2.deloitte.com/us/en/insights/economy/global-economic-outlook-2025.html</w:t>
        </w:r>
      </w:hyperlink>
      <w:r>
        <w:t xml:space="preserve"> - Deloitte provides insights into the global economic outlook for 2025, discussing factors like tariffs and economic growth, which relate to the article's mention of ongoing economic concerns and tariffs.</w:t>
      </w:r>
      <w:r/>
    </w:p>
    <w:p>
      <w:pPr>
        <w:pStyle w:val="ListNumber"/>
        <w:spacing w:line="240" w:lineRule="auto"/>
        <w:ind w:left="720"/>
      </w:pPr>
      <w:r/>
      <w:hyperlink r:id="rId13">
        <w:r>
          <w:rPr>
            <w:color w:val="0000EE"/>
            <w:u w:val="single"/>
          </w:rPr>
          <w:t>https://www.axios.com/artificial-intelligence-tech-trends-2023-4c2c2a8c-d82b-41ac-9c6c-86a077c1ddd1.html</w:t>
        </w:r>
      </w:hyperlink>
      <w:r>
        <w:t xml:space="preserve"> - Axios discusses advancements in artificial intelligence, which the article mentions as one of the forces shaping the current landscape.</w:t>
      </w:r>
      <w:r/>
    </w:p>
    <w:p>
      <w:pPr>
        <w:pStyle w:val="ListNumber"/>
        <w:spacing w:line="240" w:lineRule="auto"/>
        <w:ind w:left="720"/>
      </w:pPr>
      <w:r/>
      <w:hyperlink r:id="rId14">
        <w:r>
          <w:rPr>
            <w:color w:val="0000EE"/>
            <w:u w:val="single"/>
          </w:rPr>
          <w:t>https://www.forrester.com/blogs/leading-in-times-of-change/</w:t>
        </w:r>
      </w:hyperlink>
      <w:r>
        <w:t xml:space="preserve"> - Forrester’s insights often discuss strategies for managing change and uncertainty, aligning with the article’s emphasis on proactive approaches to volatility.</w:t>
      </w:r>
      <w:r/>
    </w:p>
    <w:p>
      <w:pPr>
        <w:pStyle w:val="ListNumber"/>
        <w:spacing w:line="240" w:lineRule="auto"/>
        <w:ind w:left="720"/>
      </w:pPr>
      <w:r/>
      <w:hyperlink r:id="rId15">
        <w:r>
          <w:rPr>
            <w:color w:val="0000EE"/>
            <w:u w:val="single"/>
          </w:rPr>
          <w:t>https://www.mckinsey.com/business-functions/risk-and-resilience/our-insights/building-risk-management-capability-for-the-21st-century</w:t>
        </w:r>
      </w:hyperlink>
      <w:r>
        <w:t xml:space="preserve"> - McKinsey’s report on risk management highlights the importance of holistic risk approaches, which is a key focus area in the article’s discussion of business strategy.</w:t>
      </w:r>
      <w:r/>
    </w:p>
    <w:p>
      <w:pPr>
        <w:pStyle w:val="ListNumber"/>
        <w:spacing w:line="240" w:lineRule="auto"/>
        <w:ind w:left="720"/>
      </w:pPr>
      <w:r/>
      <w:hyperlink r:id="rId16">
        <w:r>
          <w:rPr>
            <w:color w:val="0000EE"/>
            <w:u w:val="single"/>
          </w:rPr>
          <w:t>https://www.forrester.com/blogs/to-thrive-through-volatility-master-these-three-areas/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ta.org/business-travel-full-recovery-expected-by-2025/" TargetMode="External"/><Relationship Id="rId11" Type="http://schemas.openxmlformats.org/officeDocument/2006/relationships/hyperlink" Target="https://www.kearney.com/service/global-business-policy-council/global-trends/2020-2025" TargetMode="External"/><Relationship Id="rId12" Type="http://schemas.openxmlformats.org/officeDocument/2006/relationships/hyperlink" Target="https://www2.deloitte.com/us/en/insights/economy/global-economic-outlook-2025.html" TargetMode="External"/><Relationship Id="rId13" Type="http://schemas.openxmlformats.org/officeDocument/2006/relationships/hyperlink" Target="https://www.axios.com/artificial-intelligence-tech-trends-2023-4c2c2a8c-d82b-41ac-9c6c-86a077c1ddd1.html" TargetMode="External"/><Relationship Id="rId14" Type="http://schemas.openxmlformats.org/officeDocument/2006/relationships/hyperlink" Target="https://www.forrester.com/blogs/leading-in-times-of-change/" TargetMode="External"/><Relationship Id="rId15" Type="http://schemas.openxmlformats.org/officeDocument/2006/relationships/hyperlink" Target="https://www.mckinsey.com/business-functions/risk-and-resilience/our-insights/building-risk-management-capability-for-the-21st-century" TargetMode="External"/><Relationship Id="rId16" Type="http://schemas.openxmlformats.org/officeDocument/2006/relationships/hyperlink" Target="https://www.forrester.com/blogs/to-thrive-through-volatility-master-these-three-are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