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Exporters’ optimism collapses as US tariffs trigger $305bn hit and shift trade flows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findings from Allianz Trade reveal the far-reaching effects of the ongoing trade war, specifically highlighting the fallout from the US's tariff policies on international exporters. The latest 2025 Global Survey gathered insights from 4,500 companies across nine major economies—comprising countries that collectively constitute nearly 60% of the world's GDP. The survey was conducted before and after the significant tariff announcements under President Donald Trump, termed "Liberation Day," on April 2.</w:t>
      </w:r>
      <w:r/>
    </w:p>
    <w:p>
      <w:r/>
      <w:r>
        <w:t>Initial optimism among exporters has dramatically waned. Before the tariff announcements, 80% of firms had positive export expectations; this figure has plummeted to just 40%. Now, nearly 60% of exporters anticipate negative impacts due to the escalating trade tensions, with 45% predicting a decrease in export turnover. The survey projects a staggering potential loss of USD 305 billion in global exports by 2025, underscoring the severity of the situation.</w:t>
      </w:r>
      <w:r/>
    </w:p>
    <w:p>
      <w:r/>
      <w:r>
        <w:t>Notably, exporters in China and Singapore are among the most affected. In China, 82% of respondents expect a downturn in international sales, with over 60% forecasting revenue declines of up to 10%. Singaporean firms are experiencing similar pessimism, with 55% projecting reduced revenues. Although bilateral trade agreements have offered some hope, ongoing policy unpredictability and substantial tariffs remain significant hindrances. Thus, many companies are proactively seeking new markets to absorb the shocks, demonstrating flexibility in the face of adversity.</w:t>
      </w:r>
      <w:r/>
    </w:p>
    <w:p>
      <w:r/>
      <w:r>
        <w:t>Aylin Somersan Coqui, CEO of Allianz Trade, emphasised this shift: “In sharp contrast to the optimism seen before the April 2 tariff wave, this year’s Global Survey confirms what we are observing across markets: uncertainty and fragmentation are becoming structural.” Many businesses are responding not just by diversifying their client base, but also by reconfiguring their supply chains to mitigate risks associated with concentrated dependencies.</w:t>
      </w:r>
      <w:r/>
    </w:p>
    <w:p>
      <w:r/>
      <w:r>
        <w:t>Beyond the immediate financial concerns, the report points to worrying trends in payment expectations. Since the tariff announcements, 25% of companies now anticipate delays in payment terms exceeding seven days, with a considerable portion also bracing for increased instances of missed payments. This situation is particularly urgent in countries like the US, UK, and Italy, where liquidity pressures are mounting. As outlined by Ana Boata, Head of Economic Research at Allianz Trade, larger firms often face the most significant delays, leading them to act as "invisible banks" for smaller firms—a trend unlikely to benefit the overall health of the market.</w:t>
      </w:r>
      <w:r/>
    </w:p>
    <w:p>
      <w:r/>
      <w:r>
        <w:t>The study also indicates a marked shift in global trading patterns, particularly between the US and China. Following the tariff policies, only 10% of US companies plan to export to China, a significant decrease from past figures. Conversely, there is renewed interest among European firms in Asia, particularly towards China and South-East Asian markets, illustrating a realignment in trade dynamics. As Françoise Huang, Senior Economist for Asia Pacific and Trade, articulated, “Friendshoring is likely to continue gaining traction," with a growing number of firms eyeing alternative nations for production.</w:t>
      </w:r>
      <w:r/>
    </w:p>
    <w:p>
      <w:r/>
      <w:r>
        <w:t>The backdrop of these findings reveals a broader trend of rising protectionism globally, amplified by political impulses from both the Trump and Biden administrations. Biden has not only maintained many tariffs but also introduced new ones aimed at addressing economic self-reliance and countering China's influence. Such measures, however, raise concerns about their long-term viability and the potential for worsening inflationary effects for US consumers and businesses, as noted by various analysts.</w:t>
      </w:r>
      <w:r/>
    </w:p>
    <w:p>
      <w:r/>
      <w:r>
        <w:t>In conclusion, as exporters navigate an increasingly volatile environment marked by unpredictability, adaptability emerges as their most critical asset. While many firms are actively seeking diversification and new markets to lessen their dependence on troubled supply chains, the question looms: how sustainable is this shift amidst an overarching tide of protectionism? The Allianz Trade survey paints a sobering picture, one that signals the urgent need for actionable strategies in an era defined by economic uncertainty.</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4: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5: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6: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7: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8: </w:t>
      </w:r>
      <w:hyperlink r:id="rId9">
        <w:r>
          <w:rPr>
            <w:color w:val="0000EE"/>
            <w:u w:val="single"/>
          </w:rPr>
          <w:t>[1]</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https://www.reinsurancene.ws/exporters-brace-for-impact-as-allianz-trade-survey-reveals-deep-fallout-from-us-tariff-moves/</w:t>
        </w:r>
      </w:hyperlink>
      <w:r>
        <w:t xml:space="preserve"> - Please view link - unable to able to access data</w:t>
      </w:r>
      <w:r/>
    </w:p>
    <w:p>
      <w:pPr>
        <w:pStyle w:val="ListNumber"/>
        <w:spacing w:line="240" w:lineRule="auto"/>
        <w:ind w:left="720"/>
      </w:pPr>
      <w:r/>
      <w:hyperlink r:id="rId10">
        <w:r>
          <w:rPr>
            <w:color w:val="0000EE"/>
            <w:u w:val="single"/>
          </w:rPr>
          <w:t>https://www.reuters.com/business/us-tariffs-dampen-mood-global-exporters-study-shows-2025-05-20/</w:t>
        </w:r>
      </w:hyperlink>
      <w:r>
        <w:t xml:space="preserve"> - A recent global survey by Allianz Trade reveals that new U.S. tariffs have significantly dampened global exporter sentiment, with 42% of companies now anticipating a substantial drop in export revenues. This is a dramatic increase from just 5% before the announcement of wide-ranging tariffs by President Donald Trump on April 2, dubbed 'Liberation Day'. The survey, conducted in March and April among 4,500 companies across Germany, France, Italy, Spain, Poland, Britain, the U.S., Singapore, and China, projects global export losses of $305 billion in 2025. Germany, known for its export-driven economy, is particularly affected, with 39% of German firms expecting revenue declines. Additionally, German businesses expressed higher concerns over geopolitical risks and protectionism—35% compared to an average of 29% in other nations. Allianz Trade CEO Aylin Somersan Coqui highlighted the enduring uncertainty and trade fragmentation that exporters are likely to face moving forward. (</w:t>
      </w:r>
      <w:hyperlink r:id="rId16">
        <w:r>
          <w:rPr>
            <w:color w:val="0000EE"/>
            <w:u w:val="single"/>
          </w:rPr>
          <w:t>reuters.com</w:t>
        </w:r>
      </w:hyperlink>
      <w:r>
        <w:t>)</w:t>
      </w:r>
      <w:r/>
    </w:p>
    <w:p>
      <w:pPr>
        <w:pStyle w:val="ListNumber"/>
        <w:spacing w:line="240" w:lineRule="auto"/>
        <w:ind w:left="720"/>
      </w:pPr>
      <w:r/>
      <w:hyperlink r:id="rId11">
        <w:r>
          <w:rPr>
            <w:color w:val="0000EE"/>
            <w:u w:val="single"/>
          </w:rPr>
          <w:t>https://time.com/7286933/trump-trade-war-us-china-tariff-pause-businesses-costs-uncertainty/</w:t>
        </w:r>
      </w:hyperlink>
      <w:r>
        <w:t xml:space="preserve"> - The article from TIME highlights the disruptive impact of President Donald Trump's unpredictable tariff policies on U.S. businesses and consumers, particularly in the context of escalating trade tensions with China. Companies like Itay Sharon’s and Anna Griffin’s small enterprises have faced severe cost increases due to sudden tariff hikes—up to 170% on some imports—resulting in pricing uncertainty and supply chain disruptions. The 90-day tariff truce between the U.S. and China reduced some pressure but failed to assure long-term stability. Many businesses scrambled to frontload and stockpile inventory before the truce's expiration, straining logistics and container availability. Efforts to relocate manufacturing outside China proved challenging due to cost, infrastructure gaps, and production quality issues in alternative countries. Even domestic production was often infeasible due to prohibitively high costs or technical limitations. Some companies adopted a “China Plus One” strategy to diversify risks, but Trump’s broad “reciprocal” tariffs and temporary exemptions undermined such efforts, pushing some businesses to remain reliant on China. Experts argue that these unpredictable shifts disincentivized significant changes in supply chains and may have inadvertently benefited China by increasing perceived stability compared to volatile U.S. trade policy. Small to mid-sized businesses remain particularly vulnerable in this volatile environment. (</w:t>
      </w:r>
      <w:hyperlink r:id="rId17">
        <w:r>
          <w:rPr>
            <w:color w:val="0000EE"/>
            <w:u w:val="single"/>
          </w:rPr>
          <w:t>time.com</w:t>
        </w:r>
      </w:hyperlink>
      <w:r>
        <w:t>)</w:t>
      </w:r>
      <w:r/>
    </w:p>
    <w:p>
      <w:pPr>
        <w:pStyle w:val="ListNumber"/>
        <w:spacing w:line="240" w:lineRule="auto"/>
        <w:ind w:left="720"/>
      </w:pPr>
      <w:r/>
      <w:hyperlink r:id="rId12">
        <w:r>
          <w:rPr>
            <w:color w:val="0000EE"/>
            <w:u w:val="single"/>
          </w:rPr>
          <w:t>https://apnews.com/article/1c17b1d223080b7a594326905380845a</w:t>
        </w:r>
      </w:hyperlink>
      <w:r>
        <w:t xml:space="preserve"> - Regardless of whether Trump or Biden becomes the next U.S. President, it appears that both leaders will continue to uphold protectionist trade policies, particularly tariffs on foreign imports. Trump initially imposed a series of tariffs on steel, aluminum, and Chinese goods, actions that negatively impacted American businesses like Clips &amp; Clamps Industries. Contrary to expectations, Biden has maintained many of these tariffs and even introduced new ones, especially targeting Chinese imports. While their trade stances seem politically driven to appeal to industrial states and respond to China’s growing influence, such policies risk escalating costs for American consumers and businesses, potentially exacerbating inflation. This consensus marked a significant shift from decades of free trade policies post-World War II. Additionally, Biden’s strategy includes promoting domestic industries through subsidies and investment in green technologies and chip manufacturing, aiming for self-reliance against global economic threats, especially from China. (</w:t>
      </w:r>
      <w:hyperlink r:id="rId18">
        <w:r>
          <w:rPr>
            <w:color w:val="0000EE"/>
            <w:u w:val="single"/>
          </w:rPr>
          <w:t>apnews.com</w:t>
        </w:r>
      </w:hyperlink>
      <w:r>
        <w:t>)</w:t>
      </w:r>
      <w:r/>
    </w:p>
    <w:p>
      <w:pPr>
        <w:pStyle w:val="ListNumber"/>
        <w:spacing w:line="240" w:lineRule="auto"/>
        <w:ind w:left="720"/>
      </w:pPr>
      <w:r/>
      <w:hyperlink r:id="rId13">
        <w:r>
          <w:rPr>
            <w:color w:val="0000EE"/>
            <w:u w:val="single"/>
          </w:rPr>
          <w:t>https://www.ft.com/content/497ca6af-1565-443a-ad18-3e9180d04d5e</w:t>
        </w:r>
      </w:hyperlink>
      <w:r>
        <w:t xml:space="preserve"> - The document argues that tariffs are a poor policy choice despite their political appeal. Both Donald Trump and Joe Biden have imposed significant tariffs, with Trump advocating for a 10% blanket tariff on imports and proposing higher tariffs on Chinese goods. These tariffs are politically attractive because their negative effects are less visible, their victims often powerless, and they can be presented as measures against foreign adversaries. However, tariffs act as hidden taxes on consumers, benefiting producers and having wider negative economic impacts. Tariffs tend to reduce the competitiveness of exports, shift economic vulnerabilities, and disproportionately burden lower-income households. Analyzing past protectionist policies, such as those in India, reveals the inadequacies and negative consequences of such strategies. Rather than reverting to protectionist measures reminiscent of the 1930s, the piece suggests using subsidies to support domestic industries, such as electric vehicle production, as a more effective approach. (</w:t>
      </w:r>
      <w:hyperlink r:id="rId19">
        <w:r>
          <w:rPr>
            <w:color w:val="0000EE"/>
            <w:u w:val="single"/>
          </w:rPr>
          <w:t>ft.com</w:t>
        </w:r>
      </w:hyperlink>
      <w:r>
        <w:t>)</w:t>
      </w:r>
      <w:r/>
    </w:p>
    <w:p>
      <w:pPr>
        <w:pStyle w:val="ListNumber"/>
        <w:spacing w:line="240" w:lineRule="auto"/>
        <w:ind w:left="720"/>
      </w:pPr>
      <w:r/>
      <w:hyperlink r:id="rId14">
        <w:r>
          <w:rPr>
            <w:color w:val="0000EE"/>
            <w:u w:val="single"/>
          </w:rPr>
          <w:t>https://www.ft.com/content/c21f29d6-f8c5-4596-8652-42c0be96a269</w:t>
        </w:r>
      </w:hyperlink>
      <w:r>
        <w:t xml:space="preserve"> - A study by Aston University predicts that a potential global trade war triggered by former President Donald Trump's imposition of a 25% tariff on all imports could inflict a $1.4 trillion blow to the global economy. Using 2023 trade data from 132 countries, economists modeled six escalating scenarios and found that retaliatory measures would cause severe disruptions to trade, hike prices, and lower living standards. In a scenario limited to Canada, Mexico, and China retaliating, trade could fall by over 30%, with economic welfare reductions of 1.1% in the U.S., 7% in Mexico, and 5% in Canada. In a broader global conflict, U.S. exports could decline by over 43%, with the U.S. suffering the greatest inflationary impact. Countries with complex supply chains like Ireland and South Korea are especially vulnerable. Though the post-Brexit UK might flex its independent trade policy advantageously, it risks straining EU-UK supply chains. Echoing historical parallels like the 1930 Smoot-Hawley tariffs, the study’s lead author Jun Du emphasized that widespread implementation of retaliatory tariffs would destabilize global cooperation and inflict harm on all economies involved. (</w:t>
      </w:r>
      <w:hyperlink r:id="rId20">
        <w:r>
          <w:rPr>
            <w:color w:val="0000EE"/>
            <w:u w:val="single"/>
          </w:rPr>
          <w:t>ft.com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insurancene.ws/exporters-brace-for-impact-as-allianz-trade-survey-reveals-deep-fallout-from-us-tariff-moves/" TargetMode="External"/><Relationship Id="rId10" Type="http://schemas.openxmlformats.org/officeDocument/2006/relationships/hyperlink" Target="https://www.reuters.com/business/us-tariffs-dampen-mood-global-exporters-study-shows-2025-05-20/" TargetMode="External"/><Relationship Id="rId11" Type="http://schemas.openxmlformats.org/officeDocument/2006/relationships/hyperlink" Target="https://time.com/7286933/trump-trade-war-us-china-tariff-pause-businesses-costs-uncertainty/" TargetMode="External"/><Relationship Id="rId12" Type="http://schemas.openxmlformats.org/officeDocument/2006/relationships/hyperlink" Target="https://apnews.com/article/1c17b1d223080b7a594326905380845a" TargetMode="External"/><Relationship Id="rId13" Type="http://schemas.openxmlformats.org/officeDocument/2006/relationships/hyperlink" Target="https://www.ft.com/content/497ca6af-1565-443a-ad18-3e9180d04d5e" TargetMode="External"/><Relationship Id="rId14" Type="http://schemas.openxmlformats.org/officeDocument/2006/relationships/hyperlink" Target="https://www.ft.com/content/c21f29d6-f8c5-4596-8652-42c0be96a269"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us-tariffs-dampen-mood-global-exporters-study-shows-2025-05-20/?utm_source=openai" TargetMode="External"/><Relationship Id="rId17" Type="http://schemas.openxmlformats.org/officeDocument/2006/relationships/hyperlink" Target="https://time.com/7286933/trump-trade-war-us-china-tariff-pause-businesses-costs-uncertainty/?utm_source=openai" TargetMode="External"/><Relationship Id="rId18" Type="http://schemas.openxmlformats.org/officeDocument/2006/relationships/hyperlink" Target="https://apnews.com/article/1c17b1d223080b7a594326905380845a?utm_source=openai" TargetMode="External"/><Relationship Id="rId19" Type="http://schemas.openxmlformats.org/officeDocument/2006/relationships/hyperlink" Target="https://www.ft.com/content/497ca6af-1565-443a-ad18-3e9180d04d5e?utm_source=openai" TargetMode="External"/><Relationship Id="rId20" Type="http://schemas.openxmlformats.org/officeDocument/2006/relationships/hyperlink" Target="https://www.ft.com/content/c21f29d6-f8c5-4596-8652-42c0be96a26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