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Israel-Iran conflict forces supply chains to rethink resilience amid shifting energy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ongoing Israel-Iran conflict is creating significant challenges for global supply chains, prompting industry analysts to urge chief supply chain officers (CSCOs) to prioritise three key actions to safeguard their operations amid the instability. According to a recent guidance from a leading technology and advisory firm, supply chain leaders should focus on mitigating regional bottlenecks, preparing financial officers for cost variability, and reviewing resilience strategies to maintain continuity.</w:t>
      </w:r>
      <w:r/>
    </w:p>
    <w:p>
      <w:r/>
      <w:r>
        <w:t>The conflict has intensified bottlenecks across critical shipping routes and logistics hubs in the region. Shipping lines are reportedly avoiding the Suez Canal, resulting in container traffic remaining well below pre-conflict levels. The Strait of Hormuz, a vital chokepoint for energy shipments, is experiencing heightened disruption risks leading to congestion and the need for alternative routes. Key ports such as Jebel Ali, Khalifa Port, Dammam, and Haifa are under increased pressure, with some already facing service interruptions. Organisations are advised to explore multimodal transportation options, including Eurasian rail freight, despite its higher costs, to manage delays and sustain supply flows.</w:t>
      </w:r>
      <w:r/>
    </w:p>
    <w:p>
      <w:r/>
      <w:r>
        <w:t>These developments come as regional energy supplies also face disruption. Israel’s Leviathan natural gas field, a major energy source for the region, recently suspended operations due to conflict-related damage but has since resumed activity following a ceasefire. The temporary shutdown affected gas supplies to neighbouring countries including Egypt and Jordan, with significant knock-on effects in local industries such as fertiliser production. Efforts to enhance the handling capacity at surrounding terminals are underway to prevent future supply chain shocks in the energy sector.</w:t>
      </w:r>
      <w:r/>
    </w:p>
    <w:p>
      <w:r/>
      <w:r>
        <w:t>Financial repercussions are pronounced, with ongoing conflict driving up costs across energy, transport, insurance, and inventory management. Supply chain leaders are being urged to engage proactively with chief financial officers (CFOs) to account for these volatile expenses and to build a compelling business case for investment in advanced supply chain technologies. Industry experts argue that this investment gap leaves many firms vulnerable to further disruptions, highlighting the necessity for improved visibility and risk management tools.</w:t>
      </w:r>
      <w:r/>
    </w:p>
    <w:p>
      <w:r/>
      <w:r>
        <w:t>Meanwhile, geopolitical analysts observe a complicated backdrop to the conflict’s impact on global markets. While oil prices initially surged in response to missile attacks and military actions, they have since dropped sharply, reflecting a market increasingly driven by supply fundamentals rather than geopolitical risk alone. Brent crude experienced one of its largest daily declines in recent years after evidence suggested strikes were largely symbolic rather than targeting essential oil infrastructure. This price behaviour points to a diminishing influence of Middle Eastern tensions on global energy costs, amid growing oil production outside the region, notably in the United States and Brazil, and increased diversification in energy sources including renewables and natural gas.</w:t>
      </w:r>
      <w:r/>
    </w:p>
    <w:p>
      <w:r/>
      <w:r>
        <w:t>China’s response to the conflict further illustrates the nuanced geopolitical landscape. Despite its historical ties with Iran, Chinese officials have adopted a cautious diplomatic stance, condemning violence but avoiding direct military involvement. This restraint is interpreted as Beijing’s effort to protect its economic interests and maintain stable energy supplies, signalling a strategic prioritisation of commercial stability over geopolitical confrontation.</w:t>
      </w:r>
      <w:r/>
    </w:p>
    <w:p>
      <w:r/>
      <w:r>
        <w:t>Taken together, these factors underscore a shifting global paradigm in both supply chain management and energy markets. The Israel-Iran conflict is serving as a catalyst for companies to reassess and strengthen their resilience frameworks, balancing short-term cost pressures with longer-term strategic adjustments. However, the muted market reaction to the conflict’s escalation suggests that traditional risk models may need recalibration to reflect the evolving geopolitical and economic realities of the 2020s. As one supply chain analyst remarked, this period demands "a renewed focus on diversification, agility, and collaboration across ecosystems" to weather the complexities of an interconnected world still vulnerable to regional instability.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20250625844957/en/Gartner-Says-Supply-Chain-Leaders-Must-Address-Three-Priorities-Amid-Impacts-From-Israel-Iran-Conflict?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https://www.reuters.com/business/energy/israels-leviathan-natural-gas-field-resume-operations-few-hours-2025-06-25/</w:t>
        </w:r>
      </w:hyperlink>
      <w:r>
        <w:t xml:space="preserve"> - Israel's Leviathan natural gas field, managed by NewMed and Chevron, is set to resume operations after a near two-week shutdown caused by the recent Israel-Iran conflict. The ceasefire agreement between Israel and Iran has led to the reopening of Leviathan and Karish fields, with expectations of increased gas exports and improved energy sector management. Leviathan currently produces 12 billion cubic meters of gas annually, serving Israel, Egypt, and Jordan, with plans to increase output to 14 bcm in 2026. The supply disruption notably impacted Egypt, where Israeli gas accounts for 15-20% of consumption, causing local fertilizer producers to halt production. Efforts are underway to enhance gas handling capacity at the Sumed terminal to mitigate the impact.</w:t>
      </w:r>
      <w:r/>
    </w:p>
    <w:p>
      <w:pPr>
        <w:pStyle w:val="ListNumber"/>
        <w:spacing w:line="240" w:lineRule="auto"/>
        <w:ind w:left="720"/>
      </w:pPr>
      <w:r/>
      <w:hyperlink r:id="rId12">
        <w:r>
          <w:rPr>
            <w:color w:val="0000EE"/>
            <w:u w:val="single"/>
          </w:rPr>
          <w:t>https://apnews.com/article/a66b5fe05670980c544662bb633e6fe3</w:t>
        </w:r>
      </w:hyperlink>
      <w:r>
        <w:t xml:space="preserve"> - Following Israel's attack on Iran, China—historically aligned with Tehran—responded with diplomatic condemnation and calls for de-escalation but stopped short of offering any material or military support. Despite its global ambitions and strong oil ties with Iran, China chose a cautious, risk-averse approach, emphasizing non-intervention due to its limited diplomatic influence in the volatile Middle East and its desire to maintain commercial stability. Economic concerns, especially the uninterrupted importation of Iranian oil vital to China’s industrial output, dominated Beijing’s response. Chinese officials condemned Israeli aggression, advocated for dialogue, and engaged in diplomatic discussions with regional and global powers such as Russia, Oman, and Egypt. At the United Nations, China supported a ceasefire resolution opposed by the U.S. While Iran remains strategically significant to China—being a key Belt and Road Initiative partner and member of the Shanghai Cooperation Organization—Beijing's restrained stance highlights the gap between its great-power narrative and actual geopolitical influence in conflict zones. Analysts suggest China aims to balance support for Iran while avoiding deeper entanglements that could jeopardize its broader economic and diplomatic interests.</w:t>
      </w:r>
      <w:r/>
    </w:p>
    <w:p>
      <w:pPr>
        <w:pStyle w:val="ListNumber"/>
        <w:spacing w:line="240" w:lineRule="auto"/>
        <w:ind w:left="720"/>
      </w:pPr>
      <w:r/>
      <w:hyperlink r:id="rId13">
        <w:r>
          <w:rPr>
            <w:color w:val="0000EE"/>
            <w:u w:val="single"/>
          </w:rPr>
          <w:t>https://www.ft.com/content/611fb4d1-1939-4401-85b7-1ba5d4455619</w:t>
        </w:r>
      </w:hyperlink>
      <w:r>
        <w:t xml:space="preserve"> - Following Iran's missile attacks on a U.S. air base in Qatar, oil markets reacted with an unexpected sell-off instead of the anticipated price spike. Brent crude fell 7.2% to $71.48, marking the sharpest daily drop in three years. Traders swiftly concluded that the strikes were largely symbolic, noted by the evacuation of the Al Udeid base and Iran’s lack of intent to target vital oil infrastructure. This sentiment was bolstered by satellite images and open-source intelligence. Historically, geopolitical tensions tend to cause temporary price surges that quickly fade, and current market fundamentals—such as ample global supply, increased OPEC+ and U.S. shale output—further pressured prices. A subsequent U.S.-brokered ceasefire led by President Trump caused prices to dip again. Options trading added to market volatility, with dealers selling futures to hedge against put options, accelerating the price decline. Analysts believe oil prices may continue to drop toward $50-$60 as the market shifts focus back to fundamentals rather than geopolitical risks.</w:t>
      </w:r>
      <w:r/>
    </w:p>
    <w:p>
      <w:pPr>
        <w:pStyle w:val="ListNumber"/>
        <w:spacing w:line="240" w:lineRule="auto"/>
        <w:ind w:left="720"/>
      </w:pPr>
      <w:r/>
      <w:hyperlink r:id="rId14">
        <w:r>
          <w:rPr>
            <w:color w:val="0000EE"/>
            <w:u w:val="single"/>
          </w:rPr>
          <w:t>https://www.reuters.com/markets/commodities/israel-iran-war-highlights-mideasts-declining-influence-oil-prices-2025-06-25/</w:t>
        </w:r>
      </w:hyperlink>
      <w:r>
        <w:t xml:space="preserve"> - The Israel-Iran conflict in June 2025 resulted in only a moderate and temporary increase in oil prices, underscoring the Middle East's diminishing influence on global oil markets. Brent crude rose from under $70 to a peak of $81.40 following Israeli and U.S. strikes, but quickly dropped below pre-conflict levels to $67 after a ceasefire was announced and Iran's limited response signaled de-escalation. Historically, Middle East tensions have caused significant price surges, but recent events reflect a shrinking risk premium due to improved market intelligence, alternative export infrastructure, and diversified global energy sources. OPEC’s share of global oil supply has fallen from over 50% in the 1970s to 33% in 2023, driven largely by increased production in the U.S., Brazil, and other nations. As such, although geopolitical risks remain, their impact on energy prices appears reduced, signaling a structural shift in the oil market's responsiveness to Middle East conflicts.</w:t>
      </w:r>
      <w:r/>
    </w:p>
    <w:p>
      <w:pPr>
        <w:pStyle w:val="ListNumber"/>
        <w:spacing w:line="240" w:lineRule="auto"/>
        <w:ind w:left="720"/>
      </w:pPr>
      <w:r/>
      <w:hyperlink r:id="rId15">
        <w:r>
          <w:rPr>
            <w:color w:val="0000EE"/>
            <w:u w:val="single"/>
          </w:rPr>
          <w:t>https://apnews.com/article/1d4c15bf394235396e755c74bef4b458</w:t>
        </w:r>
      </w:hyperlink>
      <w:r>
        <w:t xml:space="preserve"> - Amidst rising tensions in the Middle East following Iran's missile attack on a U.S. base in Qatar, global oil prices unexpectedly plummeted by over 7%, highlighting a major shift in the global energy landscape. Despite the region supplying about a third of the world’s oil, the abundance of oil and alternative energy sources has stabilized the market. U.S. oil production, bolstered by technological advances, has made the country the top producer globally. Gasoline prices in the U.S., which have steadily declined over the past three years, are anticipated to drop further due to the recent crude price slump. The global energy market is influenced by surging oil supplies, increased production outside the U.S., and waning demand driven by the rise of electric vehicles and efficiency in fossil fuel engines. The IEA reports oil’s share in global energy demand fell below 30% for the first time, while natural gas and renewables gain traction. Furthermore, renewable energy, especially solar and wind, accounted for 80% of global electricity growth, and major tech firms are now investing in nuclear energy, signaling a robust shift toward diversified and sustainable energy sources.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625844957/en/Gartner-Says-Supply-Chain-Leaders-Must-Address-Three-Priorities-Amid-Impacts-From-Israel-Iran-Conflict?feedref=JjAwJuNHiystnCoBq_hl-bV7DTIYheT0D-1vT4_bKFzt_EW40VMdK6eG-WLfRGUE1fJraLPL1g6AeUGJlCTYs7Oafol48Kkc8KJgZoTHgMu0w8LYSbRdYOj2VdwnuKwa" TargetMode="External"/><Relationship Id="rId11" Type="http://schemas.openxmlformats.org/officeDocument/2006/relationships/hyperlink" Target="https://www.reuters.com/business/energy/israels-leviathan-natural-gas-field-resume-operations-few-hours-2025-06-25/" TargetMode="External"/><Relationship Id="rId12" Type="http://schemas.openxmlformats.org/officeDocument/2006/relationships/hyperlink" Target="https://apnews.com/article/a66b5fe05670980c544662bb633e6fe3" TargetMode="External"/><Relationship Id="rId13" Type="http://schemas.openxmlformats.org/officeDocument/2006/relationships/hyperlink" Target="https://www.ft.com/content/611fb4d1-1939-4401-85b7-1ba5d4455619" TargetMode="External"/><Relationship Id="rId14" Type="http://schemas.openxmlformats.org/officeDocument/2006/relationships/hyperlink" Target="https://www.reuters.com/markets/commodities/israel-iran-war-highlights-mideasts-declining-influence-oil-prices-2025-06-25/" TargetMode="External"/><Relationship Id="rId15" Type="http://schemas.openxmlformats.org/officeDocument/2006/relationships/hyperlink" Target="https://apnews.com/article/1d4c15bf394235396e755c74bef4b4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