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NATO must evolve Article 5 to counter new hybrid warfare threats in the Wider Black Sea Region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cyberattack on Estonia in 2007, triggered by the relocation of a Soviet-era bronze statue in Tallinn, marked a pivotal moment in NATO’s understanding of collective defense. When Russian-linked hackers debilitated Estonia’s digital infrastructure following related riots, the Alliance confronted a harsh reality: Article 5 of NATO’s founding treaty, designed to address conventional military threats like tanks crossing borders, was ill-equipped for hybrid warfare—where adversaries use cyberattacks, information manipulation, ethnic tensions, and proxy forces to achieve strategic goals without traditional warfare’s clear markers.</w:t>
      </w:r>
      <w:r/>
    </w:p>
    <w:p>
      <w:r/>
      <w:r>
        <w:t>Since that defining moment, Russian hybrid warfare—explicitly integrating conventional military power with cyber and electronic warfare, political subversion, economic coercion, and information operations—has expanded and evolved, notably within the Wider Black Sea Region. The 2008 synchronous cyber and kinetic assault on Georgia and the 2014 stealth invasion of Crimea were early demonstrations of Moscow’s refined strategy. These operations blended unmarked troops, targeted information campaigns aimed at Russian-speaking minorities, and cyberattacks that disrupted Ukrainian military communications, resulting in deadly artillery strikes. Such sophisticated tactics blurred the lines between peace and open conflict.</w:t>
      </w:r>
      <w:r/>
    </w:p>
    <w:p>
      <w:r/>
      <w:r>
        <w:t>More recently, the 2024 Romanian presidential election illustrated how hybrid warfare has advanced into the digital realm with alarming potency. A coordinated TikTok disinformation campaign, involving thousands of reactivated social media accounts supported by Russian and Iranian networks, almost installed a pro-Moscow ultranationalist president, forcing Romania’s Constitutional Court to annul the election results. This “algorithmic invasion” demonstrated a new form of hybrid attack capable of altering political landscapes within NATO itself—without a single shot fired.</w:t>
      </w:r>
      <w:r/>
    </w:p>
    <w:p>
      <w:r/>
      <w:r>
        <w:t>Russia’s hybrid operations have become widespread and persistent. In 2024 alone, there were 34 recorded attacks on NATO assets, ranging from undersea cables to weapons factories. Bulgaria experienced explosions at ammunition warehouses shortly after it joined the coalition supplying arms to Ukraine, sending a stark message about the costs of support. The impact of cyberattacks like NotPetya in 2017—which targeted Ukraine but caused global damage exceeding $10 billion—further underscores the broad reach and disruptive potential of hybrid tactics.</w:t>
      </w:r>
      <w:r/>
    </w:p>
    <w:p>
      <w:r/>
      <w:r>
        <w:t>In response, NATO has taken significant steps to adapt. Recognizing cyberattacks as potential triggers for Article 5 since the 2014 Wales Summit, the Alliance has designated cyberspace as a distinct operational domain and bolstered cyber defence capabilities, notably through the Vilnius Summit in 2023. NATO’s Cooperative Cyber Defence Centre of Excellence (CCDCOE), based in Tallinn, has been pivotal in advancing cyber defense strategies, research, and international legal frameworks such as the Tallinn Manual. The CCDCOE facilitates cooperation among NATO members and partners and helps mitigate strategic cybereffects, particularly through support to Ukraine.</w:t>
      </w:r>
      <w:r/>
    </w:p>
    <w:p>
      <w:r/>
      <w:r>
        <w:t>Despite these advances, NATO’s defensive posture has not deterred escalating hybrid threats. Persistent sabotage and information operations continue unimpeded, exploiting ambiguities inherent to the gray zone between peace and war. This challenges the clarity of Article 5, which pledges collective defense against armed attacks but leaves NATO struggling with how to treat non-traditional, cumulative hybrid threats that politically destabilize allies.</w:t>
      </w:r>
      <w:r/>
    </w:p>
    <w:p>
      <w:r/>
      <w:r>
        <w:t>The Romania case exemplifies these strategic dilemmas. Germany’s Ministry of Foreign Affairs warned that such manipulations aim to fracture EU and NATO unity. Had the pro-Russian candidate prevailed, Romania’s crucial role as NATO’s southeastern flank—and host to vital missile defence installations—might have been compromised, potentially exceeding the impact of many conventional military actions.</w:t>
      </w:r>
      <w:r/>
    </w:p>
    <w:p>
      <w:r/>
      <w:r>
        <w:t>Adaptation of NATO’s collective defense must consider three key lessons from the Wider Black Sea Region. First, hybrid tactics often precede conventional warfare, serving as a strategic preparation phase, as seen in Georgia in 2008 and Ukraine from 2014 onward. Treating these hybrid actions as mere nuisances risks strategic surprise. Second, the cumulative impact of persistent hybrid operations should be assessed holistically rather than judging isolated incidents. Third, regional patterns of hybrid attacks signal broader strategic intent—targeting key allies to destabilize support networks and undermine regional security.</w:t>
      </w:r>
      <w:r/>
    </w:p>
    <w:p>
      <w:r/>
      <w:r>
        <w:t>Rather than rewriting Article 5, NATO needs a more nuanced framework reflecting the complexity of hybrid warfare. This means shifting from a focus on means (tanks, missiles, troops) toward assessing effects and strategic implications. For example, an attempted political takeover via social media manipulation could be as strategically damaging as a military strike. Regional context should influence thresholds for collective response, especially in critical zones like the Black Sea, which serve as conduits for military support to Ukraine and other partner states.</w:t>
      </w:r>
      <w:r/>
    </w:p>
    <w:p>
      <w:r/>
      <w:r>
        <w:t>To that end, establishing a dedicated Hybrid Defense Hub for the Wider Black Sea Region has been proposed. Building on the CCDCOE’s cyber expertise, this hub would coordinate defence efforts across the full spectrum of hybrid threats, enhance attribution capabilities against complex Russo-Chinese campaigns, and foster regional collaboration. Furthermore, NATO might consider introducing graduated response mechanisms rather than relying solely on Article 5’s binary trigger, allowing collective action tailored to the scale and nature of hybrid attacks. Academic proposals like Professor Corneliu Bjola’s Dynamic Information Resilience framework offer models for such incremental responses.</w:t>
      </w:r>
      <w:r/>
    </w:p>
    <w:p>
      <w:r/>
      <w:r>
        <w:t>Investment in offensive options should also be debated. The largely defensive posture NATO has adopted has failed to deter increasingly reckless Russian hybrid operations. Clear communication that attacks on allied states will provoke measured but forceful retaliation could raise the cost for aggressors and strengthen deterrence.</w:t>
      </w:r>
      <w:r/>
    </w:p>
    <w:p>
      <w:r/>
      <w:r>
        <w:t>Ultimately, the experience of the Wider Black Sea Region—from the cyber-kinetic assault on Georgia to the digitally-driven political crisis in Romania—illustrates that twenty-first-century security challenges demand twenty-first-century interpretations of collective defense. Maintaining strategic ambiguity alongside effective deterrence, focusing on cumulative strategic effects, and developing proportional, graduated responses will be vital for NATO’s credibility and resilience.</w:t>
      </w:r>
      <w:r/>
    </w:p>
    <w:p>
      <w:r/>
      <w:r>
        <w:t>As Russo-Chinese hybrid warfare cooperation spreads, the Alliance’s ability to adapt Article 5 to these evolving threats will shape not only its own future but global norms concerning hybrid conflict. Clinging to outdated interpretations risks undermining the core promise of collective defense just when unity is most needed—whether the threat arrives through tanks or TikTok, missiles or malware, armies or algorithms.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https://sofsupport.org/from-tanks-to-tiktok-adapting-article-5-for-graduated-responses-to-hybrid-warfare/</w:t>
        </w:r>
      </w:hyperlink>
      <w:r>
        <w:t xml:space="preserve"> - Please view link - unable to able to access data</w:t>
      </w:r>
      <w:r/>
    </w:p>
    <w:p>
      <w:pPr>
        <w:pStyle w:val="ListNumber"/>
        <w:spacing w:line="240" w:lineRule="auto"/>
        <w:ind w:left="720"/>
      </w:pPr>
      <w:r/>
      <w:hyperlink r:id="rId11">
        <w:r>
          <w:rPr>
            <w:color w:val="0000EE"/>
            <w:u w:val="single"/>
          </w:rPr>
          <w:t>https://www.bbc.com/news/technology-13321435</w:t>
        </w:r>
      </w:hyperlink>
      <w:r>
        <w:t xml:space="preserve"> - In 2007, Estonia faced a significant cyberattack that targeted its digital infrastructure, leading to widespread disruptions. The attack was linked to the relocation of a Soviet-era statue in Tallinn, which had sparked riots. This incident highlighted vulnerabilities in Estonia's cyber defenses and prompted NATO to reassess its collective security measures, particularly concerning cyber threats. The event underscored the need for NATO to adapt its defense strategies to address the evolving nature of warfare, including cyberattacks and other non-traditional threats.</w:t>
      </w:r>
      <w:r/>
    </w:p>
    <w:p>
      <w:pPr>
        <w:pStyle w:val="ListNumber"/>
        <w:spacing w:line="240" w:lineRule="auto"/>
        <w:ind w:left="720"/>
      </w:pPr>
      <w:r/>
      <w:hyperlink r:id="rId12">
        <w:r>
          <w:rPr>
            <w:color w:val="0000EE"/>
            <w:u w:val="single"/>
          </w:rPr>
          <w:t>https://www.csis.org/analysis/russian-hybrid-warfare-nato</w:t>
        </w:r>
      </w:hyperlink>
      <w:r>
        <w:t xml:space="preserve"> - Russian hybrid warfare is a strategy that integrates conventional military forces with cyberattacks, information operations, and economic pressure to achieve strategic objectives while maintaining plausible deniability. This approach has been evident in various conflicts, including the 2008 operations against Georgia and the 2014 invasion of Crimea. The use of 'little green men'—unmarked soldiers—and cyber operations that disrupt military communications exemplify Russia's evolving hybrid tactics. These methods challenge traditional defense frameworks and necessitate a rethinking of collective security measures.</w:t>
      </w:r>
      <w:r/>
    </w:p>
    <w:p>
      <w:pPr>
        <w:pStyle w:val="ListNumber"/>
        <w:spacing w:line="240" w:lineRule="auto"/>
        <w:ind w:left="720"/>
      </w:pPr>
      <w:r/>
      <w:hyperlink r:id="rId13">
        <w:r>
          <w:rPr>
            <w:color w:val="0000EE"/>
            <w:u w:val="single"/>
          </w:rPr>
          <w:t>https://www.nato.int/cps/en/natolive/topics_82773.htm</w:t>
        </w:r>
      </w:hyperlink>
      <w:r>
        <w:t xml:space="preserve"> - NATO's Cooperative Cyber Defence Centre of Excellence (CCDCOE) in Tallinn, Estonia, was established in 2008 to enhance the alliance's cyber defense capabilities. The center focuses on education, research, and development to improve cooperation and information sharing among NATO members and partners. It plays a critical role in addressing cyber threats and has been instrumental in developing frameworks like the Tallinn Manual, which outlines international laws applicable to cyber warfare. The CCDCOE's work is vital in adapting NATO's defense strategies to the digital age.</w:t>
      </w:r>
      <w:r/>
    </w:p>
    <w:p>
      <w:pPr>
        <w:pStyle w:val="ListNumber"/>
        <w:spacing w:line="240" w:lineRule="auto"/>
        <w:ind w:left="720"/>
      </w:pPr>
      <w:r/>
      <w:hyperlink r:id="rId13">
        <w:r>
          <w:rPr>
            <w:color w:val="0000EE"/>
            <w:u w:val="single"/>
          </w:rPr>
          <w:t>https://www.nato.int/cps/en/natolive/topics_82773.htm</w:t>
        </w:r>
      </w:hyperlink>
      <w:r>
        <w:t xml:space="preserve"> - NATO's Cooperative Cyber Defence Centre of Excellence (CCDCOE) in Tallinn, Estonia, was established in 2008 to enhance the alliance's cyber defense capabilities. The center focuses on education, research, and development to improve cooperation and information sharing among NATO members and partners. It plays a critical role in addressing cyber threats and has been instrumental in developing frameworks like the Tallinn Manual, which outlines international laws applicable to cyber warfare. The CCDCOE's work is vital in adapting NATO's defense strategies to the digital age.</w:t>
      </w:r>
      <w:r/>
    </w:p>
    <w:p>
      <w:pPr>
        <w:pStyle w:val="ListNumber"/>
        <w:spacing w:line="240" w:lineRule="auto"/>
        <w:ind w:left="720"/>
      </w:pPr>
      <w:r/>
      <w:hyperlink r:id="rId13">
        <w:r>
          <w:rPr>
            <w:color w:val="0000EE"/>
            <w:u w:val="single"/>
          </w:rPr>
          <w:t>https://www.nato.int/cps/en/natolive/topics_82773.htm</w:t>
        </w:r>
      </w:hyperlink>
      <w:r>
        <w:t xml:space="preserve"> - NATO's Cooperative Cyber Defence Centre of Excellence (CCDCOE) in Tallinn, Estonia, was established in 2008 to enhance the alliance's cyber defense capabilities. The center focuses on education, research, and development to improve cooperation and information sharing among NATO members and partners. It plays a critical role in addressing cyber threats and has been instrumental in developing frameworks like the Tallinn Manual, which outlines international laws applicable to cyber warfare. The CCDCOE's work is vital in adapting NATO's defense strategies to the digital age.</w:t>
      </w:r>
      <w:r/>
    </w:p>
    <w:p>
      <w:pPr>
        <w:pStyle w:val="ListNumber"/>
        <w:spacing w:line="240" w:lineRule="auto"/>
        <w:ind w:left="720"/>
      </w:pPr>
      <w:r/>
      <w:hyperlink r:id="rId13">
        <w:r>
          <w:rPr>
            <w:color w:val="0000EE"/>
            <w:u w:val="single"/>
          </w:rPr>
          <w:t>https://www.nato.int/cps/en/natolive/topics_82773.htm</w:t>
        </w:r>
      </w:hyperlink>
      <w:r>
        <w:t xml:space="preserve"> - NATO's Cooperative Cyber Defence Centre of Excellence (CCDCOE) in Tallinn, Estonia, was established in 2008 to enhance the alliance's cyber defense capabilities. The center focuses on education, research, and development to improve cooperation and information sharing among NATO members and partners. It plays a critical role in addressing cyber threats and has been instrumental in developing frameworks like the Tallinn Manual, which outlines international laws applicable to cyber warfare. The CCDCOE's work is vital in adapting NATO's defense strategies to the digital age.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ofsupport.org/from-tanks-to-tiktok-adapting-article-5-for-graduated-responses-to-hybrid-warfare/" TargetMode="External"/><Relationship Id="rId11" Type="http://schemas.openxmlformats.org/officeDocument/2006/relationships/hyperlink" Target="https://www.bbc.com/news/technology-13321435" TargetMode="External"/><Relationship Id="rId12" Type="http://schemas.openxmlformats.org/officeDocument/2006/relationships/hyperlink" Target="https://www.csis.org/analysis/russian-hybrid-warfare-nato" TargetMode="External"/><Relationship Id="rId13" Type="http://schemas.openxmlformats.org/officeDocument/2006/relationships/hyperlink" Target="https://www.nato.int/cps/en/natolive/topics_82773.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