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upend global supply chains as Charleston event spotlights strategic adaptations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trade dynamics rapidly evolve, supply chains worldwide are confronting unprecedented pressures, ushering in a crucial juncture for industry leaders and logistics experts. This spring in Charleston, South Carolina, a major event will convene experts and manufacturers to explore these challenges, focusing on innovations and strategies that are reshaping supply chains across sectors. The conference promises to deliver deep insights through real-world case studies and emerging solutions, offering attendees the chance to engage with the latest thinking on navigating risk, enhancing efficiency, and planning for future disruptions.</w:t>
      </w:r>
      <w:r/>
    </w:p>
    <w:p>
      <w:r/>
      <w:r>
        <w:t>The backdrop to this gathering highlights the extraordinary turbulence and transformation underway. Since August 1, 2025, new U.S. tariffs have disrupted established trade flows with significant consequences. President Donald Trump’s administration imposed a 15% tariff on most European exports—the highest levels since the 1930s—triggering a wave of supply chain reconfigurations. European producers in industries ranging from wine and perfume to consumer goods are contending with steep price increases, delayed shipments, and constrained competitiveness in the critical U.S. market. German winemaker Johannes Selbach and French champagne producer Hugo Drappier have publicly described the tariff impact as severe, jeopardizing jobs and profits in industries unlikely to relocate easily.</w:t>
      </w:r>
      <w:r/>
    </w:p>
    <w:p>
      <w:r/>
      <w:r>
        <w:t>These tariffs coincide with broader supply chain upheavals, including notable disturbances in raw material markets. The U.S. copper market, for instance, experienced a significant shock after a 50% tariff was unexpectedly imposed on semi-manufactured copper products, excluding refined copper temporarily until 2027. This led to a sharp 20% price drop on the CME and disrupted flow patterns globally, with fears of strained domestic processing capacity and potential reverse exports of copper to international markets. Such distortions underscore how resource nationalism policies are reshaping the foundations of supply chains, with ripple effects felt across multiple sectors.</w:t>
      </w:r>
      <w:r/>
    </w:p>
    <w:p>
      <w:r/>
      <w:r>
        <w:t>Despite these challenges, some companies have demonstrated resilience. Melrose Industries, the parent company of GKN Aerospace, recently surpassed profit forecasts amid rising defence and civil aerospace demand. Its strategic supply chain restructuring has helped mitigate tariff exposure, particularly in North American markets, underscoring how adaptation and diversification can shield firms during these volatile times.</w:t>
      </w:r>
      <w:r/>
    </w:p>
    <w:p>
      <w:r/>
      <w:r>
        <w:t>Meanwhile, Asian tech markets, especially semiconductor producers in Taiwan and South Korea, are also facing tariffs averaging around 15-20%, creating heightened uncertainty that has unsettled global investors. The costs of these tariffs are tangible, with firms like Apple anticipating substantial expense increases. The incomplete U.S.-China trade deal further clouds the outlook, with tariffs and potential changes continuing to pressure the global technology supply chain.</w:t>
      </w:r>
      <w:r/>
    </w:p>
    <w:p>
      <w:r/>
      <w:r>
        <w:t>These tariff pressures have accelerated a parallel trend in China, where companies are intensifying efforts to reduce dependency on foreign components. Spurred by tariffs and retaliatory measures, many Chinese firms across semiconductors, chemicals, and medical device sectors are localising supply chains as part of the country’s strategic push for self-sufficiency. This shift, embedded in long-term policies like “Made in China 2025” and “dual circulation,” could permanently alter global supply structures, reducing China’s reliance on Western imports but also raising concerns about inefficiencies and heightened geopolitical tensions.</w:t>
      </w:r>
      <w:r/>
    </w:p>
    <w:p>
      <w:r/>
      <w:r>
        <w:t>Against this complex global trade landscape, the upcoming Charleston event offers a critical forum for leaders to exchange ideas, share best practices, and forge solutions capable of sustaining supply chain resilience. As these disruptions continue to unfold worldwide—from tariff shocks and commodity market volatility to strategic shifts in manufacturing localisation—the industry’s capacity to innovate and collaborate will be decisive.</w:t>
      </w:r>
      <w:r/>
    </w:p>
    <w:p>
      <w:r/>
      <w:r>
        <w:t>Participants can expect to benefit not only from expert insights but also from unparalleled networking opportunities that blend forward-thinking supply chain strategies with the hospitality and historic charm of Charleston. Keeping pace with rapid changes requires ongoing dialogue and adaptive action; this event aims to provide precisely that platform for the future of supply chain management. Registration details will soon be announced, presenting companies with a timely chance to engage and influence this critical conversation shaping global commerce in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https://industrytoday.com/the-supply-chain-is-changing-are-you-ready/</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https://www.reuters.com/world/europe/europe-inc-wakes-up-to-trumps-new-tariff-reality-2025-08-01/</w:t>
        </w:r>
      </w:hyperlink>
      <w:r>
        <w:t xml:space="preserve"> - As of August 1, 2025, European businesses are grappling with U.S. President Donald Trump's newly implemented 15% tariffs on most European exports, marking the highest trade levies since the 1930s. These tariffs are part of a broader restructuring of global trade aimed at addressing U.S. trade imbalances. European producers are responding with delayed shipments, price hikes, and reevaluated supply chains, while some fear they may not survive the change. Industries like wine, perfume, and consumer goods are particularly impacted. Producers such as German winemaker Johannes Selbach and French champagne maker Hugo Drappier highlight the severe effects on jobs, profits, and regional industries that cannot relocate. Larger firms like Procter &amp; Gamble and Adidas are raising U.S. prices, while at least 99 out of 300 companies tracked by Reuters have done the same. Though some business leaders are relieved the uncertainty has lifted, the challenge ahead includes absorbing costs or finding new markets to remain competitive in the U.S.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https://www.reuters.com/business/aerospace-defense/uks-melrose-beats-operating-profit-estimates-strong-defence-demand-2025-08-01/</w:t>
        </w:r>
      </w:hyperlink>
      <w:r>
        <w:t xml:space="preserve"> - Melrose Industries, the parent company of GKN Aerospace, exceeded market expectations with its first-half adjusted operating profit, driven by increased demand in both defence and civil aerospace sectors. The company reported a profit of £310 million ($409.17 million), surpassing analyst projections of £299 million. This performance reflects a broader industry trend of heightened defence spending due to rising geopolitical tensions. Despite challenges from U.S. President Donald Trump's tariffs, which are prompting supply chain reassessments, Melrose has effectively minimized its direct tariff exposure by restructuring its supply chain. The company, which earns about 50% of its revenue from North America, also reaffirmed its profit forecast for 2025 on a constant currency basis.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https://www.reuters.com/markets/commodities/copper-market-pays-price-forgetting-its-taco-hedge-2025-07-31/</w:t>
        </w:r>
      </w:hyperlink>
      <w:r>
        <w:t xml:space="preserve"> - The U.S. copper market faced a sharp downturn after President Donald Trump imposed unexpected 50% tariffs on semi-manufactured copper products such as wire and tube, while excluding refined copper—at least until 2027. The move caught traders off guard, causing a 20% drop in CME copper prices and flooding the U.S. with unnecessary refined metal due to earlier arbitrage activities. The CME's U.S. copper contract had ridden a high premium over the London Metal Exchange (LME), which collapsed following the announcement. Around 400,000–500,000 metric tons of copper products annually are now subject to tariffs, affecting a wide range of countries and sparking concerns about the capacity of domestic processors. The administration also announced future restrictions on exports of U.S.-mined concentrates and recyclable copper, requiring more to be sold domestically—up to 40% by 2029. These moves signal a shift toward resource nationalism, similar to the EU's steps against “scrap leakage.” Despite the initial overreaction, a phased tariff on refined copper from 2027 is still possible, leaving the market uncertain. The disruption has significantly distorted global supply chains, depleted Chinese inventories, and may prompt a reverse flow of copper from the U.S. back to global markets.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https://www.reuters.com/business/retail-consumer/investors-see-few-winners-as-tariff-storm-lashes-global-markets-2025-08-01/</w:t>
        </w:r>
      </w:hyperlink>
      <w:r>
        <w:t xml:space="preserve"> - The article, dated August 1, 2025, discusses the global market impact following U.S. President Donald Trump's implementation of new tariffs on dozens of countries, as negotiations expired. The tariffs have sparked concern among investors due to uncertainty around global supply chains and the unresolved trade deal with China. Asian tech markets were hit particularly hard—South Korea’s Kospi dropped up to 3.7%, and Taiwan's index fell as much as 1.6%. Trump imposed a 20% tariff on Taiwan, higher than the 15% rate agreed with Japan and South Korea, affecting major semiconductor producers like TSMC and SK Hynix. The broader market had rallied since an initial low in April, but the MSCI All Country World Index has now declined for four consecutive sessions. The average global tariff rate has risen sharply from 2.5% to 15.3%. While some nations escaped the worst tariffs, even those facing 10% duties are feeling the economic hit through higher prices and disrupted trade. Further uncertainty looms as the U.S.-China deal remains incomplete, and experts note that tariff rates could continue to change. U.S. tariffs on tech imports also raised costs, with Apple estimating a $1.1 billion increase. (</w:t>
      </w:r>
      <w:hyperlink r:id="rId18">
        <w:r>
          <w:rPr>
            <w:color w:val="0000EE"/>
            <w:u w:val="single"/>
          </w:rPr>
          <w:t>reuters.com</w:t>
        </w:r>
      </w:hyperlink>
      <w:r>
        <w:t>)</w:t>
      </w:r>
      <w:r/>
    </w:p>
    <w:p>
      <w:pPr>
        <w:pStyle w:val="ListNumber"/>
        <w:spacing w:line="240" w:lineRule="auto"/>
        <w:ind w:left="720"/>
      </w:pPr>
      <w:r/>
      <w:hyperlink r:id="rId19">
        <w:r>
          <w:rPr>
            <w:color w:val="0000EE"/>
            <w:u w:val="single"/>
          </w:rPr>
          <w:t>https://www.ft.com/content/8e018bd6-17ae-4ac9-b43b-c625a65c2651</w:t>
        </w:r>
      </w:hyperlink>
      <w:r>
        <w:t xml:space="preserve"> - Amid escalating trade tensions with the United States, Chinese companies are intensifying efforts to eliminate foreign components from their supply chains. This movement, spurred by President Donald Trump’s imposition of steep tariffs on Chinese goods, is reinforcing China’s long-term strategy of industrial self-sufficiency under policies like “Made in China 2025” and Xi Jinping’s “dual circulation” strategy. More than two dozen companies across sectors including semiconductors, chemicals, and medical devices reported plans to localize their supply chains in recent financial disclosures. The tariffs, along with China's retaliatory import levies reaching up to 125%, have accelerated this transition. Firms such as Estun Automation and China Harzone Industry Corp are replacing foreign inputs with domestic alternatives, citing cost reduction and risk mitigation amid global economic instability. Analysts suggest these measures may lead to a permanent reshaping of global supply chains and reduce China's dependence on Western products. The EU Chamber of Commerce in China noted the success of China’s strategy in industries like electric vehicles and shipbuilding, while also warning of inefficiencies and escalating tensions. Overall, the trade war has validated China’s push for self-reliance and is likely to result in lasting structural changes. (</w:t>
      </w:r>
      <w:hyperlink r:id="rId20">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the-supply-chain-is-changing-are-you-ready/" TargetMode="External"/><Relationship Id="rId11" Type="http://schemas.openxmlformats.org/officeDocument/2006/relationships/hyperlink" Target="https://www.reuters.com/world/europe/europe-inc-wakes-up-to-trumps-new-tariff-reality-2025-08-01/" TargetMode="External"/><Relationship Id="rId12" Type="http://schemas.openxmlformats.org/officeDocument/2006/relationships/hyperlink" Target="https://www.reuters.com/world/europe/europe-inc-wakes-up-trumps-new-tariff-reality-2025-08-01/?utm_source=openai" TargetMode="External"/><Relationship Id="rId13" Type="http://schemas.openxmlformats.org/officeDocument/2006/relationships/hyperlink" Target="https://www.reuters.com/business/aerospace-defense/uks-melrose-beats-operating-profit-estimates-strong-defence-demand-2025-08-01/" TargetMode="External"/><Relationship Id="rId14" Type="http://schemas.openxmlformats.org/officeDocument/2006/relationships/hyperlink" Target="https://www.reuters.com/business/aerospace-defense/uks-melrose-beats-operating-profit-estimates-strong-defence-demand-2025-08-01/?utm_source=openai" TargetMode="External"/><Relationship Id="rId15" Type="http://schemas.openxmlformats.org/officeDocument/2006/relationships/hyperlink" Target="https://www.reuters.com/markets/commodities/copper-market-pays-price-forgetting-its-taco-hedge-2025-07-31/" TargetMode="External"/><Relationship Id="rId16" Type="http://schemas.openxmlformats.org/officeDocument/2006/relationships/hyperlink" Target="https://www.reuters.com/markets/commodities/copper-market-pays-price-forgetting-its-taco-hedge-2025-07-31/?utm_source=openai" TargetMode="External"/><Relationship Id="rId17" Type="http://schemas.openxmlformats.org/officeDocument/2006/relationships/hyperlink" Target="https://www.reuters.com/business/retail-consumer/investors-see-few-winners-as-tariff-storm-lashes-global-markets-2025-08-01/" TargetMode="External"/><Relationship Id="rId18" Type="http://schemas.openxmlformats.org/officeDocument/2006/relationships/hyperlink" Target="https://www.reuters.com/business/retail-consumer/investors-see-few-winners-tariff-storm-lashes-global-markets-2025-08-01/?utm_source=openai" TargetMode="External"/><Relationship Id="rId19" Type="http://schemas.openxmlformats.org/officeDocument/2006/relationships/hyperlink" Target="https://www.ft.com/content/8e018bd6-17ae-4ac9-b43b-c625a65c2651" TargetMode="External"/><Relationship Id="rId20" Type="http://schemas.openxmlformats.org/officeDocument/2006/relationships/hyperlink" Target="https://www.ft.com/content/8e018bd6-17ae-4ac9-b43b-c625a65c265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