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Single Grain ranks eight Austin LinkedIn ABM partners for 2025 and flags buyer trade-offs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Austin’s B2B marketing community is doubling down on LinkedIn as a strategic channel for account‑based marketing (ABM). Industry research shows the platform dominates B2B distribution: the Content Marketing Institute reports that 68% of B2B marketers increased their use of LinkedIn over the previous 12 months and that a large majority consider it the channel delivering the best value. Separate marketing guidance from Cognism estimates that exposure to LinkedIn advertising can raise purchase intent among target prospects by roughly a third. Against that backdrop, a fresh market survey from Single Grain positions eight Austin consultancies as the city’s leading LinkedIn‑focused ABM partners for 2025 — but the report also illustrates the trade‑offs buyers must weigh when choosing a partner.</w:t>
      </w:r>
      <w:r/>
    </w:p>
    <w:p>
      <w:r/>
      <w:r>
        <w:t>How the ranking was reached Single Grain’s roundup is explicit about methodology: firms were scored across five dimensions weighted to favour measurable pipeline impact — pipeline attribution and ROI tracking (30%), AI‑powered personalisation at scale (25%), enterprise integration capabilities (20%), proven client outcomes (15%) and strategic positioning (10%). According to the original report, that emphasis reflects broader industry findings that ABM leaders prioritise account intelligence, cross‑functional alignment and rigorous measurement to scale programmes effectively.</w:t>
      </w:r>
      <w:r/>
    </w:p>
    <w:p>
      <w:r/>
      <w:r>
        <w:t>That methodology privileges vendors able to demonstrate closed‑loop revenue influence rather than those focused on reach or single‑channel activity. It is worth noting, however, that any such ranking is shaped by the chosen weights and by the evidence firms elect to make public; several of the outcome figures in the report come from vendor case studies and company disclosures rather than independent audits.</w:t>
      </w:r>
      <w:r/>
    </w:p>
    <w:p>
      <w:r/>
      <w:r>
        <w:t>What the roundup says — and what it means for buyers Single Grain places Karrot.ai at the top of its list, citing the company’s LinkedIn‑native platform and a heavy focus on AI‑driven creative personalisation and attribution. Karrot.ai’s website describes automated LinkedIn ad personalisation, dynamic landing‑page customisation and HubSpot CRM integrations that aim to create multi‑touch attribution visualisations linking campaign activity to deal progression. Maintaining editorial distance, the report frames these as vendor claims: Karrot.ai claims its approach solves the classic ABM scalability problem by generating account‑specific creatives at volume while preserving personalisation quality.</w:t>
      </w:r>
      <w:r/>
    </w:p>
    <w:p>
      <w:r/>
      <w:r>
        <w:t>Also highlighted:</w:t>
      </w:r>
      <w:r/>
      <w:r/>
    </w:p>
    <w:p>
      <w:pPr>
        <w:pStyle w:val="ListBullet"/>
        <w:spacing w:line="240" w:lineRule="auto"/>
        <w:ind w:left="720"/>
      </w:pPr>
      <w:r/>
      <w:r>
        <w:t>NoGood.io — championed for cross‑platform ABM, combining LinkedIn with other paid social channels and advanced audience modelling for broader reach. This approach suits organisations that want ABM beyond LinkedIn but still demand attribution across channels.</w:t>
      </w:r>
      <w:r/>
    </w:p>
    <w:p>
      <w:pPr>
        <w:pStyle w:val="ListBullet"/>
        <w:spacing w:line="240" w:lineRule="auto"/>
        <w:ind w:left="720"/>
      </w:pPr>
      <w:r/>
      <w:r>
        <w:t>Single Grain — ranked within its own roundup for data‑driven campaign automation. The company’s published case study claims a 300–500% ROI for an enterprise software client through an AI‑driven, LinkedIn‑centric ABM programme; that result is presented as the vendor’s reported outcome.</w:t>
      </w:r>
      <w:r/>
    </w:p>
    <w:p>
      <w:pPr>
        <w:pStyle w:val="ListBullet"/>
        <w:spacing w:line="240" w:lineRule="auto"/>
        <w:ind w:left="720"/>
      </w:pPr>
      <w:r/>
      <w:r>
        <w:t>TripleDart Digital — recommended for SaaS vendors because of its focus on technical buyer personas, demo optimisation and freemium funnel conversion strategies.</w:t>
      </w:r>
      <w:r/>
    </w:p>
    <w:p>
      <w:pPr>
        <w:pStyle w:val="ListBullet"/>
        <w:spacing w:line="240" w:lineRule="auto"/>
        <w:ind w:left="720"/>
      </w:pPr>
      <w:r/>
      <w:r>
        <w:t>SalesBread — spotlighted for high‑conversion LinkedIn outreach. SalesBread reports average reply and meeting‑conversion metrics (the firm states a 19.98% reply rate with 48.14% of replies converting to qualified meetings), figures the roundup reproduces as the consultant’s own performance data.</w:t>
      </w:r>
      <w:r/>
    </w:p>
    <w:p>
      <w:pPr>
        <w:pStyle w:val="ListBullet"/>
        <w:spacing w:line="240" w:lineRule="auto"/>
        <w:ind w:left="720"/>
      </w:pPr>
      <w:r/>
      <w:r>
        <w:t>Health Launchpad — singled out for healthcare specialisation, emphasising decision‑maker network mapping and regulatory‑sensitive messaging for penetration of complex hospital and payer buying committees.</w:t>
      </w:r>
      <w:r/>
    </w:p>
    <w:p>
      <w:pPr>
        <w:pStyle w:val="ListBullet"/>
        <w:spacing w:line="240" w:lineRule="auto"/>
        <w:ind w:left="720"/>
      </w:pPr>
      <w:r/>
      <w:r>
        <w:t>Impactable — framed as an enterprise multichannel operator capable of orchestrating ABM at large scale with advanced attribution modelling.</w:t>
      </w:r>
      <w:r/>
    </w:p>
    <w:p>
      <w:pPr>
        <w:pStyle w:val="ListBullet"/>
        <w:spacing w:line="240" w:lineRule="auto"/>
        <w:ind w:left="720"/>
      </w:pPr>
      <w:r/>
      <w:r>
        <w:t>Accenture (Austin office) — included for its ability to wrap LinkedIn ABM into broader digital‑transformation programmes. The Austin Chamber directory confirms Accenture’s local presence; Accenture’s global practice materials demonstrate experience with CRM integrations and AI‑enabled personalisation at enterprise scale, supporting the idea that the firm can place ABM inside wider change agendas.</w:t>
      </w:r>
      <w:r/>
      <w:r/>
    </w:p>
    <w:p>
      <w:r/>
      <w:r>
        <w:t>Bigger trends that shape partner choice Three market realities recur across the report and independent industry research. First, AI‑driven personalisation at scale is now a practical differentiator: vendors that combine automation with dynamic creative and account data can reach large target lists without reverting to one‑size‑fits‑all advertising. Second, attribution matters materially — both to justify budgets and to accelerate sales — and buyers increasingly demand multi‑touch, CRM‑linked models that trace influence onto deal velocity. Third, vertical specialisation and sales‑marketing alignment are decisive in complex B2B buying contexts; Demandbase’s recent benchmark reporting and other ABM studies underscore that programmes with strong data, personalised content and cross‑functional alignment report higher ROI than generic campaigns.</w:t>
      </w:r>
      <w:r/>
    </w:p>
    <w:p>
      <w:r/>
      <w:r>
        <w:t>Practical guidance for enterprise buyers The Single Grain analysis is useful as a starting point, but procurement should treat rankings as one input among several:</w:t>
      </w:r>
      <w:r/>
      <w:r/>
    </w:p>
    <w:p>
      <w:pPr>
        <w:pStyle w:val="ListBullet"/>
        <w:spacing w:line="240" w:lineRule="auto"/>
        <w:ind w:left="720"/>
      </w:pPr>
      <w:r/>
      <w:r>
        <w:t>Define the outcome you need. Is the priority rapid meeting generation, compressing deal cycles, penetrating regulated sectors, or embedding ABM inside a wider transformation? Vendors on the list skew differently across those objectives.</w:t>
      </w:r>
      <w:r/>
    </w:p>
    <w:p>
      <w:pPr>
        <w:pStyle w:val="ListBullet"/>
        <w:spacing w:line="240" w:lineRule="auto"/>
        <w:ind w:left="720"/>
      </w:pPr>
      <w:r/>
      <w:r>
        <w:t>Validate outcome claims. Many headline metrics reproduced in vendor profiles come from company case studies. Ask to see the underlying measurement methodology, the attribution model used, and sample dashboards that link activity to CRM‑tracked opportunities.</w:t>
      </w:r>
      <w:r/>
    </w:p>
    <w:p>
      <w:pPr>
        <w:pStyle w:val="ListBullet"/>
        <w:spacing w:line="240" w:lineRule="auto"/>
        <w:ind w:left="720"/>
      </w:pPr>
      <w:r/>
      <w:r>
        <w:t>Insist on integration. Closed‑loop reporting — ideally via direct CRM connectors or documented data‑feed architectures — is the single most important technical capability a partner can provide if you need to prove influence on revenue.</w:t>
      </w:r>
      <w:r/>
    </w:p>
    <w:p>
      <w:pPr>
        <w:pStyle w:val="ListBullet"/>
        <w:spacing w:line="240" w:lineRule="auto"/>
        <w:ind w:left="720"/>
      </w:pPr>
      <w:r/>
      <w:r>
        <w:t>Consider scope and channel strategy. If your audience is concentrated on LinkedIn, a LinkedIn‑native platform may deliver cleaner signal and creative personalisation. If buyers consume content across a mix of channels, a cross‑platform partner may better support end‑to‑end influence measurement.</w:t>
      </w:r>
      <w:r/>
    </w:p>
    <w:p>
      <w:pPr>
        <w:pStyle w:val="ListBullet"/>
        <w:spacing w:line="240" w:lineRule="auto"/>
        <w:ind w:left="720"/>
      </w:pPr>
      <w:r/>
      <w:r>
        <w:t>Mind vertical fit. For sectors with regulatory complexity or technical buying processes, choose a partner that can demonstrate domain experience and messaging compliance.</w:t>
      </w:r>
      <w:r/>
      <w:r/>
    </w:p>
    <w:p>
      <w:r/>
      <w:r>
        <w:t>A note on impartiality Readers should be aware that the roundup comes from a marketing consultancy that appears in its own list; the presence of promotional calls to action in the original piece underscores that the exercise blends editorial assessment with lead‑generation. That does not invalidate the findings, but it does strengthen the case for buyers to corroborate vendor claims through references, sample reports and, where possible, a short pilot.</w:t>
      </w:r>
      <w:r/>
    </w:p>
    <w:p>
      <w:r/>
      <w:r>
        <w:t>Conclusion LinkedIn remains the dominant distribution channel for B2B ABM, and the firms highlighted in Single Grain’s 2025 roundup exemplify the two poles of the market: LinkedIn‑native automation platforms that promise scale with personalised creative, and broader consultancies that fold LinkedIn into multichannel pipelines and transformation programmes. Independent industry data from the Content Marketing Institute, Cognism and ABM benchmark studies all point to the same imperative for enterprise buyers in 2025: choose partners that can demonstrate measurable pipeline influence, integrate tightly with sales systems and align creative personalisation to the realities of complex buying committees. Doing so will determine whether ABM spends deliver incremental lift or genuine acceleration of pipeline and revenue.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https://www.singlegrain.com/abm/austins-top-8-linkedin-abm-consulting-firms-for-strategic-pipeline-growth-in-2025/</w:t>
        </w:r>
      </w:hyperlink>
      <w:r>
        <w:t xml:space="preserve"> - Please view link - unable to able to access data</w:t>
      </w:r>
      <w:r/>
    </w:p>
    <w:p>
      <w:pPr>
        <w:pStyle w:val="ListNumber"/>
        <w:spacing w:line="240" w:lineRule="auto"/>
        <w:ind w:left="720"/>
      </w:pPr>
      <w:r/>
      <w:hyperlink r:id="rId10">
        <w:r>
          <w:rPr>
            <w:color w:val="0000EE"/>
            <w:u w:val="single"/>
          </w:rPr>
          <w:t>https://www.singlegrain.com/abm/austins-top-8-linkedin-abm-consulting-firms-for-strategic-pipeline-growth-in-2025/</w:t>
        </w:r>
      </w:hyperlink>
      <w:r>
        <w:t xml:space="preserve"> - Single Grain’s article profiles Austin’s leading LinkedIn-focused ABM consultancies for 2025, arguing that enterprise B2B organisations are increasingly adopting LinkedIn ABM to accelerate sales cycles and improve pipeline ROI. It explains a five-point evaluation methodology that prioritises pipeline attribution and ROI tracking, AI-powered personalisation, enterprise integration capabilities, proven client outcomes and strategic positioning. The article ranks eight firms — Karrot.ai, NoGood.io, Single Grain, TripleDart Digital, SalesBread, Health Launchpad, Impactable and Accenture’s Austin office — and summarises core differentiators and ideal client profiles. It concludes by describing market trends and inviting readers to request a free ABM audit and guidance today.</w:t>
      </w:r>
      <w:r/>
    </w:p>
    <w:p>
      <w:pPr>
        <w:pStyle w:val="ListNumber"/>
        <w:spacing w:line="240" w:lineRule="auto"/>
        <w:ind w:left="720"/>
      </w:pPr>
      <w:r/>
      <w:hyperlink r:id="rId11">
        <w:r>
          <w:rPr>
            <w:color w:val="0000EE"/>
            <w:u w:val="single"/>
          </w:rPr>
          <w:t>https://contentmarketinginstitute.com/articles/content-marketing-statistics</w:t>
        </w:r>
      </w:hyperlink>
      <w:r>
        <w:t xml:space="preserve"> - Content Marketing Institute’s B2B research reports that LinkedIn is the dominant social channel for B2B content distribution and that 68% of B2B marketers increased their use of LinkedIn in the previous 12 months. The CMI findings note that 84% of B2B marketers rate LinkedIn as the platform delivering the best value and that social media remains the most common paid distribution channel. The research presents platform‑specific trends and recommends prioritising LinkedIn for organic and paid tactics, emphasising consistent content cadence, measurement and alignment between marketing and sales to capture professional audiences and improve long‑term revenue outcomes.</w:t>
      </w:r>
      <w:r/>
    </w:p>
    <w:p>
      <w:pPr>
        <w:pStyle w:val="ListNumber"/>
        <w:spacing w:line="240" w:lineRule="auto"/>
        <w:ind w:left="720"/>
      </w:pPr>
      <w:r/>
      <w:hyperlink r:id="rId12">
        <w:r>
          <w:rPr>
            <w:color w:val="0000EE"/>
            <w:u w:val="single"/>
          </w:rPr>
          <w:t>https://www.cognism.com/blog/linkedin-marketing</w:t>
        </w:r>
      </w:hyperlink>
      <w:r>
        <w:t xml:space="preserve"> - Cognism’s marketing guides compile LinkedIn performance insights, noting that exposure to LinkedIn advertising can increase purchase intent by roughly 33% among target prospects. The site explains how LinkedIn’s professional audience, matched audiences and buyer‑intent signals support precise ABM targeting, higher lead quality and improved conversion rates. Cognism recommends combining verified market intelligence with LinkedIn’s ad formats and analytics to build matched audiences, enrich CRM records and accelerate sales engagement. Practical guidance covers creative optimisation, audience construction, intent‑based prioritisation and measurement techniques designed to reduce wasted spend and demonstrate campaign influence on pipeline progression for B2B organisations and measurable revenue attribution.</w:t>
      </w:r>
      <w:r/>
    </w:p>
    <w:p>
      <w:pPr>
        <w:pStyle w:val="ListNumber"/>
        <w:spacing w:line="240" w:lineRule="auto"/>
        <w:ind w:left="720"/>
      </w:pPr>
      <w:r/>
      <w:hyperlink r:id="rId13">
        <w:r>
          <w:rPr>
            <w:color w:val="0000EE"/>
            <w:u w:val="single"/>
          </w:rPr>
          <w:t>https://www.demandbase.com/press-release/the-abm-leadership-alliance-and-momentum-itsma-release-sixth-annual-abm-benchmark-report/</w:t>
        </w:r>
      </w:hyperlink>
      <w:r>
        <w:t xml:space="preserve"> - Demandbase’s press release summarises the Momentum ITSMA and ABM Leadership Alliance global ABM benchmark study, reporting that ABM programmes deliver strong business impact: improved pipeline growth, revenue gains and higher engagement with target accounts. The research shows that the majority of organisations practising ABM report higher ROI compared with other marketing investments and that leaders emphasise account intelligence, cross‑functional alignment and rigorous measurement. The study recommends prioritising data, personalised content and integrated attribution to scale ABM effectively, underscoring the value of ABM for enterprise B2B organisations seeking demonstrable pipeline and revenue outcomes.</w:t>
      </w:r>
      <w:r/>
    </w:p>
    <w:p>
      <w:pPr>
        <w:pStyle w:val="ListNumber"/>
        <w:spacing w:line="240" w:lineRule="auto"/>
        <w:ind w:left="720"/>
      </w:pPr>
      <w:r/>
      <w:hyperlink r:id="rId14">
        <w:r>
          <w:rPr>
            <w:color w:val="0000EE"/>
            <w:u w:val="single"/>
          </w:rPr>
          <w:t>https://karrot.ai/</w:t>
        </w:r>
      </w:hyperlink>
      <w:r>
        <w:t xml:space="preserve"> - Karrot.ai positions itself as a LinkedIn‑native ABM platform that automates personalised ad creative and landing‑page experiences for target accounts at scale. The homepage highlights features including automated LinkedIn ad personalisation, dynamic landing‑page customisation, HubSpot and CRM pipeline reporting, and multi‑touch attribution visualisations that link campaign activity to deal progression. Karrot promotes a no‑code onboarding approach, template editors and enterprise integrations to maintain brand consistency while scaling account‑specific messaging. The platform targets enterprise B2B marketers seeking measurable pipeline acceleration, shorter sales cycles and clearer marketing influence on revenue through combined automation and strategic ABM orchestration and faster, trackable commercial outcomes today.</w:t>
      </w:r>
      <w:r/>
    </w:p>
    <w:p>
      <w:pPr>
        <w:pStyle w:val="ListNumber"/>
        <w:spacing w:line="240" w:lineRule="auto"/>
        <w:ind w:left="720"/>
      </w:pPr>
      <w:r/>
      <w:hyperlink r:id="rId15">
        <w:r>
          <w:rPr>
            <w:color w:val="0000EE"/>
            <w:u w:val="single"/>
          </w:rPr>
          <w:t>https://www.austinchamber.com/directory/accenture</w:t>
        </w:r>
      </w:hyperlink>
      <w:r>
        <w:t xml:space="preserve"> - The Austin Chamber listing confirms Accenture’s regional presence and local engagement in Austin, while Accenture’s global materials detail its capability to deliver digital transformation and marketing services at enterprise scale. Accenture’s practice — including Accenture Song (formerly Accenture Interactive) — combines strategy, creative, technology and operations to tackle customer experience and marketing transformation. The firm’s Austin offices participate in local events and the regional business community, and Accenture’s global case studies illustrate CRM integrations, omnichannel marketing, AI‑enabled personalisation and transformation roadmaps, supporting the claim that Accenture’s Austin office can integrate LinkedIn ABM within broader digital transformation programmes.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inglegrain.com/abm/austins-top-8-linkedin-abm-consulting-firms-for-strategic-pipeline-growth-in-2025/" TargetMode="External"/><Relationship Id="rId11" Type="http://schemas.openxmlformats.org/officeDocument/2006/relationships/hyperlink" Target="https://contentmarketinginstitute.com/articles/content-marketing-statistics" TargetMode="External"/><Relationship Id="rId12" Type="http://schemas.openxmlformats.org/officeDocument/2006/relationships/hyperlink" Target="https://www.cognism.com/blog/linkedin-marketing" TargetMode="External"/><Relationship Id="rId13" Type="http://schemas.openxmlformats.org/officeDocument/2006/relationships/hyperlink" Target="https://www.demandbase.com/press-release/the-abm-leadership-alliance-and-momentum-itsma-release-sixth-annual-abm-benchmark-report/" TargetMode="External"/><Relationship Id="rId14" Type="http://schemas.openxmlformats.org/officeDocument/2006/relationships/hyperlink" Target="https://karrot.ai/" TargetMode="External"/><Relationship Id="rId15" Type="http://schemas.openxmlformats.org/officeDocument/2006/relationships/hyperlink" Target="https://www.austinchamber.com/directory/accentu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