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businesses are reshaping supply chain resilience amid escalating political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marked by rising geopolitical tensions and abrupt shifts in government policies, managing international supply chains has become an increasingly complex and precarious task for businesses. Political instability—from sudden regulatory changes and tariffs to sanctions and nationalization threats—can severely disrupt global operations. To survive and even thrive amid such uncertainties, companies must adopt proactive, multilayered strategies that go far beyond mere vigilance.</w:t>
      </w:r>
      <w:r/>
    </w:p>
    <w:p>
      <w:r/>
      <w:r>
        <w:t>Central to managing political risk is the careful drafting of resilient contracts that anticipate possible sources of instability and embed protections against them. According to legal experts, contracts should evolve from simple transactional documents into strategic tools designed to shield companies from volatility. For instance, stabilization clauses are crucial in locking in the regulatory, tax, or tariff environment at the time of contract signing. These clauses, historically prevalent in extractive and infrastructure sectors, are becoming increasingly relevant for manufacturing and technology firms operating internationally. They allow for price adjustments or contract termination rights if host countries unilaterally alter laws. However, there is an emerging critical view from sustainability advocates pointing out that traditional stabilization clauses, especially those prevalent in developing nations’ investment contracts, may conflict with modern expectations for transparency and fair development, urging businesses to reconsider automatic inclusion of such protections to align with sustainability goals.</w:t>
      </w:r>
      <w:r/>
    </w:p>
    <w:p>
      <w:r/>
      <w:r>
        <w:t>Currency protections also play an important role for companies operating in politically unstable markets where exchange rates can fluctuate wildly due to inflation, devaluation, or capital controls. Hedging mechanisms—such as pricing contracts in hard currencies like US dollars or euros or including automatic price adjustments—can mitigate sudden cost surges. Furthermore, arbitration and dispute resolution clauses should specify neutral international venues, such as the ICC or UNCITRAL, to avoid reliance on local courts in high-risk jurisdictions. This ensures enforceability of contract terms beyond unstable local legal systems, a critical element underscored by the widespread applicability of the New York Convention, which facilitates recognition and enforcement of arbitral awards across more than 170 countries.</w:t>
      </w:r>
      <w:r/>
    </w:p>
    <w:p>
      <w:r/>
      <w:r>
        <w:t>Force majeure and political risk clauses have also evolved significantly. Modern contracts now explicitly include political events—such as coups, embargoes, expropriation, or denial of export licenses—as triggers for suspension, renegotiation, or termination of obligations, with clear delineations of cost allocation. The International Chamber of Commerce has developed model force majeure and hardship clauses that provide uniform standards for handling such unforeseeable events, balancing the need for contractual performance with the realities of changing circumstances. Unlike force majeure, which typically excuses performance outright, hardship clauses address situations where performance remains possible but becomes excessively burdensome, allowing for renegotiation to restore contractual equilibrium—a nuance important for avoiding disputes and maintaining long-term partnerships.</w:t>
      </w:r>
      <w:r/>
    </w:p>
    <w:p>
      <w:r/>
      <w:r>
        <w:t>Operational flexibility is equally vital. Rigid supply chains are liabilities under conditions of political upheaval. Companies should embed rights to substitute suppliers or alter shipping arrangements without penalty, and adopt tiered sourcing strategies encompassing networks of Tier 1 and Tier 2 suppliers across multiple jurisdictions to enable rapid shifts when disruptions occur. Contractual terms should also allow geographically agile logistics, permitting rerouting through alternative ports or countries to circumvent embargoed or risky regions. Technologies such as AI-driven route optimisation and digital twin modelling are increasingly being employed to pre-plan and simulate alternative logistics pathways, enhancing readiness before crises strike.</w:t>
      </w:r>
      <w:r/>
    </w:p>
    <w:p>
      <w:r/>
      <w:r>
        <w:t>When instability does materialise, swift and decisive action can mean the difference between resilience and collapse. Emergency arbitration mechanisms available under bilateral investment treaties (BITs) or investor-state dispute settlement (ISDS) frameworks can offer fast interim relief, especially in cases of expropriation or contract breaches. Alongside legal mechanisms, practical steps, such as maintaining a roster of pre-vetted alternative suppliers with pre-cleared regulatory approvals, enable quick pivoting. Strategic inventory buffers and dual sourcing models, while potentially costly, provide additional resilience against lean inventory vulnerabilities. Early voluntary disclosures to customs or export control agencies can also help mitigate penalties from inadvertent trade violations arising during disruptions.</w:t>
      </w:r>
      <w:r/>
    </w:p>
    <w:p>
      <w:r/>
      <w:r>
        <w:t>Long-term risk management necessitates continuous political risk assessment before entering new markets or making significant investments. This includes leveraging country risk ratings from agencies such as Fitch or Moody’s that evaluate corruption levels, expropriation histories, and judicial efficacy. Increasingly, political risk is interwoven with environmental, social, and governance (ESG) compliance considerations—for example, labour rights violations can trigger regulatory detentions or investor liability, adding new layers of complexity. Scenario planning and geopolitical forecasting tools enable companies to model diverse outcomes—from elections and coups to regional conflicts—and test the robustness of their supply chains accordingly. Diversification across low-risk jurisdictions remains a cornerstone of mitigation strategies.</w:t>
      </w:r>
      <w:r/>
    </w:p>
    <w:p>
      <w:r/>
      <w:r>
        <w:t>Where risks cannot entirely be managed through internal measures, external instruments like political risk insurance (PRI) provide another layer of protection. PRI, available from public agencies such as the World Bank’s Multilateral Investment Guarantee Agency (MIGA) and private insurers including Lloyd’s of London, cover losses from political violence, expropriation, currency inconvertibility, and contract frustrations. Contractual risk allocation mechanisms can also distribute exposure among local partners or joint venture entities, balancing cost impacts of tariffs or regulatory changes through negotiated splits or concessions. Vendor compliance certifications further shift liability downstream, requiring suppliers to maintain insurance, adhere to traceability requirements, and certify against forced labour or sanctions risks.</w:t>
      </w:r>
      <w:r/>
    </w:p>
    <w:p>
      <w:r/>
      <w:r>
        <w:t>In summary, resilience in the face of political upheaval demands a comprehensive, multidisciplinary approach. From agile, foresight-enabled contracts and dynamic operational models to robust legal recourse and diversified sourcing, companies must treat uncertainty as a constant rather than an exception. Embedding political risk awareness into every stage of supply chain planning and management not only mitigates disruption but can also confer competitive advantage by enabling faster, smarter responses than peers. As governments continue to reshape the global trade environment unpredictably, companies that adapt with legal precision, technological agility, and strategic foresight will be best positioned to endure and excel.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https://www.jdsupra.com/legalnews/the-effects-of-government-change-and-1202502/</w:t>
        </w:r>
      </w:hyperlink>
      <w:r>
        <w:t xml:space="preserve"> - Please view link - unable to able to access data</w:t>
      </w:r>
      <w:r/>
    </w:p>
    <w:p>
      <w:pPr>
        <w:pStyle w:val="ListNumber"/>
        <w:spacing w:line="240" w:lineRule="auto"/>
        <w:ind w:left="720"/>
      </w:pPr>
      <w:r/>
      <w:hyperlink r:id="rId11">
        <w:r>
          <w:rPr>
            <w:color w:val="0000EE"/>
            <w:u w:val="single"/>
          </w:rPr>
          <w:t>https://www.iccwbo.org/business-solutions/model-contracts-clauses/icc-force-majeure-and-hardship-clauses/</w:t>
        </w:r>
      </w:hyperlink>
      <w:r>
        <w:t xml:space="preserve"> - The International Chamber of Commerce (ICC) provides model Force Majeure and Hardship Clauses designed to help businesses draft contracts adaptable to unforeseen events. These clauses balance the need for performance with the reality that circumstances can change, making performance difficult. The ICC's model clauses offer clear and concise standard provisions regarding the excuse from or modification of contractual performance obligations in case of Force Majeure or Hardship, aiming to replace differing domestic laws with uniform contractual provisions.</w:t>
      </w:r>
      <w:r/>
    </w:p>
    <w:p>
      <w:pPr>
        <w:pStyle w:val="ListNumber"/>
        <w:spacing w:line="240" w:lineRule="auto"/>
        <w:ind w:left="720"/>
      </w:pPr>
      <w:r/>
      <w:hyperlink r:id="rId12">
        <w:r>
          <w:rPr>
            <w:color w:val="0000EE"/>
            <w:u w:val="single"/>
          </w:rPr>
          <w:t>https://www.russell.nl/en/publication/international-contract-force-majeure/</w:t>
        </w:r>
      </w:hyperlink>
      <w:r>
        <w:t xml:space="preserve"> - This article discusses various clauses in international contracts, including price escalation, price adjustment, force majeure, and hardship clauses. It explains that a force majeure clause allows parties to suspend obligations or terminate the contract when unforeseen circumstances beyond their control occur. The article emphasizes the importance of invoking force majeure in a timely manner to avoid potential penalties and suggests that parties should be aware of statutory regulations and the Vienna Convention (CISG) that may apply in the absence of a specific clause.</w:t>
      </w:r>
      <w:r/>
    </w:p>
    <w:p>
      <w:pPr>
        <w:pStyle w:val="ListNumber"/>
        <w:spacing w:line="240" w:lineRule="auto"/>
        <w:ind w:left="720"/>
      </w:pPr>
      <w:r/>
      <w:hyperlink r:id="rId13">
        <w:r>
          <w:rPr>
            <w:color w:val="0000EE"/>
            <w:u w:val="single"/>
          </w:rPr>
          <w:t>https://www.iisd.org/articles/insight/hidden-clauses-tax-investment-policy-reform</w:t>
        </w:r>
      </w:hyperlink>
      <w:r>
        <w:t xml:space="preserve"> - The International Institute for Sustainable Development (IISD) examines stabilization clauses in investment contracts, which protect investors from changes in host country laws or regulations. The article highlights that these clauses are prevalent in developing countries, particularly in the mining industry, and can extend over several decades. It discusses the implications of such clauses on sustainable development and suggests that they should no longer be automatically included in contracts, advocating for alignment with modern standards of sustainability, transparency, and fairness.</w:t>
      </w:r>
      <w:r/>
    </w:p>
    <w:p>
      <w:pPr>
        <w:pStyle w:val="ListNumber"/>
        <w:spacing w:line="240" w:lineRule="auto"/>
        <w:ind w:left="720"/>
      </w:pPr>
      <w:r/>
      <w:hyperlink r:id="rId14">
        <w:r>
          <w:rPr>
            <w:color w:val="0000EE"/>
            <w:u w:val="single"/>
          </w:rPr>
          <w:t>https://en.wikipedia.org/wiki/Hardship_clause</w:t>
        </w:r>
      </w:hyperlink>
      <w:r>
        <w:t xml:space="preserve"> - A hardship clause is a provision in a contract that addresses unforeseen events fundamentally altering the equilibrium of the contract, resulting in excessive burden on one party. Unlike force majeure, which deals with impossibility of performance, hardship allows for renegotiation of terms when performance becomes excessively burdensome but not impossible. The article discusses the relationship between hardship and force majeure clauses, noting that both cater to changed circumstances but differ in their application and consequences.</w:t>
      </w:r>
      <w:r/>
    </w:p>
    <w:p>
      <w:pPr>
        <w:pStyle w:val="ListNumber"/>
        <w:spacing w:line="240" w:lineRule="auto"/>
        <w:ind w:left="720"/>
      </w:pPr>
      <w:r/>
      <w:hyperlink r:id="rId15">
        <w:r>
          <w:rPr>
            <w:color w:val="0000EE"/>
            <w:u w:val="single"/>
          </w:rPr>
          <w:t>https://www.icertis.com/contracting-basics/what-is-force-majeure/</w:t>
        </w:r>
      </w:hyperlink>
      <w:r>
        <w:t xml:space="preserve"> - This guide explains the concept of force majeure clauses in contracts, which remove liability for unforeseeable and unavoidable events that prevent parties from fulfilling obligations. It covers natural disasters, acts of war, and government actions as examples of events that can trigger such clauses. The article also discusses the elements required to invoke force majeure, including the event being unforeseeable, external to the parties, and serious enough to render performance impossible.</w:t>
      </w:r>
      <w:r/>
    </w:p>
    <w:p>
      <w:pPr>
        <w:pStyle w:val="ListNumber"/>
        <w:spacing w:line="240" w:lineRule="auto"/>
        <w:ind w:left="720"/>
      </w:pPr>
      <w:r/>
      <w:hyperlink r:id="rId11">
        <w:r>
          <w:rPr>
            <w:color w:val="0000EE"/>
            <w:u w:val="single"/>
          </w:rPr>
          <w:t>https://www.iccwbo.org/business-solutions/model-contracts-clauses/icc-force-majeure-and-hardship-clauses/</w:t>
        </w:r>
      </w:hyperlink>
      <w:r>
        <w:t xml:space="preserve"> - The International Chamber of Commerce (ICC) provides model Force Majeure and Hardship Clauses designed to help businesses draft contracts adaptable to unforeseen events. These clauses balance the need for performance with the reality that circumstances can change, making performance difficult. The ICC's model clauses offer clear and concise standard provisions regarding the excuse from or modification of contractual performance obligations in case of Force Majeure or Hardship, aiming to replace differing domestic laws with uniform contractual provisions.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the-effects-of-government-change-and-1202502/" TargetMode="External"/><Relationship Id="rId11" Type="http://schemas.openxmlformats.org/officeDocument/2006/relationships/hyperlink" Target="https://www.iccwbo.org/business-solutions/model-contracts-clauses/icc-force-majeure-and-hardship-clauses/" TargetMode="External"/><Relationship Id="rId12" Type="http://schemas.openxmlformats.org/officeDocument/2006/relationships/hyperlink" Target="https://www.russell.nl/en/publication/international-contract-force-majeure/" TargetMode="External"/><Relationship Id="rId13" Type="http://schemas.openxmlformats.org/officeDocument/2006/relationships/hyperlink" Target="https://www.iisd.org/articles/insight/hidden-clauses-tax-investment-policy-reform" TargetMode="External"/><Relationship Id="rId14" Type="http://schemas.openxmlformats.org/officeDocument/2006/relationships/hyperlink" Target="https://en.wikipedia.org/wiki/Hardship_clause" TargetMode="External"/><Relationship Id="rId15" Type="http://schemas.openxmlformats.org/officeDocument/2006/relationships/hyperlink" Target="https://www.icertis.com/contracting-basics/what-is-force-maje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