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Geopolitics accelerates reshaping of global freight routes for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global freight landscape that logistics leaders once plotted by capacity, schedules and port congestion now runs on geopolitics as much as geometry. According to the original report by Freightgate’s chief executive, Martin Hubert, 2026 will be defined by power‑bloc ambitions, regional corridor building and regulatory overhaul , forces that are reshaping routes, costs and the contractual terms that underpin global supply chains. Drawing on recent market developments and policy analysis, the following expands that view and sets out practical implications for operators, shippers and logistics providers.</w:t>
      </w:r>
      <w:r/>
    </w:p>
    <w:p>
      <w:r/>
      <w:r>
        <w:t>Geopolitical tension and a fragile Trans‑Pacific The uneasy truce between the United States and China has relieved immediate pressure but not resolved structural risk. Industry moves in 2025 , including concurrent port fees imposed by China and the U.S. that disrupted cargo flows and pushed spot rates higher in October 2025 , underscore how policy shifts can force rapid network realignment. According to market reporting, the Shanghai Containerized Freight Index rose materially after those measures, while major carriers re‑routed sailings to avoid new fees. Industry data shows carriers including Maersk, Hapag‑Lloyd and CMA CGM adjusted services to manage capacity and cost impacts.</w:t>
      </w:r>
      <w:r/>
    </w:p>
    <w:p>
      <w:r/>
      <w:r>
        <w:t>Implications: - Expect muted utilisation and downward price pressure in normal periods but frequent, sharp oscillations when policies change. - Shippers should model “China +1” sourcing scenarios and include clauses for tariff reversals and export‑control shocks in long‑form freight contracts. - Forwarders that can rapidly reallocate slots and pre‑position capacity in alternative Asian sourcing hubs (Vietnam, India, Indonesia) will gain advantage when demand swings.</w:t>
      </w:r>
      <w:r/>
    </w:p>
    <w:p>
      <w:r/>
      <w:r>
        <w:t>Regionalisation, new corridors and modal diversity Regional trade blocs and large infrastructure programmes are accelerating localisation of trade. The IMF in October 2025 urged Asian economies to cut non‑tariff barriers and deepen regional integration to offset tariff pressures, and United Nations regional reporting in November 2025 highlighted continued trade growth in Latin America despite U.S. tariffs , both signals that trade flows are diversifying.</w:t>
      </w:r>
      <w:r/>
    </w:p>
    <w:p>
      <w:r/>
      <w:r>
        <w:t>Implications: - Rail‑sea hybrids such as the emerging India‑Middle East‑Europe corridor (IMEC) can shorten transit times and bypass maritime chokepoints; one commercially viable sea‑rail corridor could divert a measurable share of Asia‑Europe volumes in 2026. - Logistics providers must build multi‑bloc capability: customs know‑how, digital compliance for different platforms, and local partnerships. - Those who invest early in corridor assets and regional inventories will capture disproportionate early volumes.</w:t>
      </w:r>
      <w:r/>
    </w:p>
    <w:p>
      <w:r/>
      <w:r>
        <w:t>Energy security, fuel costs and contract design Energy policy and regional refining capacity have become freight cost drivers. Refinery closures and shifts in refined fuel supply chains in the Indo‑Pacific increased bunker and diesel volatility in 2025, and industry commentary from carriers warned that proposed port and ship fees could further exacerbate operating margins. As Hubert recommended, fuel must now be treated as a geostrategic risk.</w:t>
      </w:r>
      <w:r/>
    </w:p>
    <w:p>
      <w:r/>
      <w:r>
        <w:t>Implications: - Contractual frameworks should include dynamic fuel‑surcharge mechanisms, explicit hedging options and surge‑price triggers tied to observable energy events. - Providers with access to alternative‑fuel assets (LNG, bio‑diesel) will command premium terms where buyers seek fuel‑resilient routes.</w:t>
      </w:r>
      <w:r/>
    </w:p>
    <w:p>
      <w:r/>
      <w:r>
        <w:t>Chokepoints, route risk and preparedness The Suez, Malacca and Panama chokepoints remain acute vulnerabilities. Real‑time risk monitoring and pre‑agreed alternative routings are no longer optional. Recent rerouting to avoid port fees showed how quickly transit efficiency and capacity can be impaired by policy or physical disruption.</w:t>
      </w:r>
      <w:r/>
    </w:p>
    <w:p>
      <w:r/>
      <w:r>
        <w:t>Implications: - Embed alternative‑route readiness into planning , quantify insurance, lead‑time and cost deltas for rail‑sea, land‑bridge and extended‑voyage options. - Expect carriers to test “route‑risk” surcharges when disruptions raise insurance and operational expense; premium routing will become standard for time‑sensitive or high‑value cargo.</w:t>
      </w:r>
      <w:r/>
    </w:p>
    <w:p>
      <w:r/>
      <w:r>
        <w:t>Compliance, data sovereignty and carbon liability Regulatory fragmentation is accelerating. Technology platforms face export controls and data‑localisation rules in major jurisdictions, and carbon‑border regimes are moving from reporting to financial liability. The EU’s move to operationalise carbon border adjustments has direct implications for freight invoices and service offers.</w:t>
      </w:r>
      <w:r/>
    </w:p>
    <w:p>
      <w:r/>
      <w:r>
        <w:t>Implications: - Integrate embedded‑emissions tracking into rate origination and shipment documentation; anticipate carbon‑certificate components appearing on EU‑bound freight invoices. - Build data‑governance and regional hosting strategies to meet local sovereignty requirements; treat tech vendors as strategic partners for compliance and reporting.</w:t>
      </w:r>
      <w:r/>
    </w:p>
    <w:p>
      <w:r/>
      <w:r>
        <w:t>Practical actions for resilience and opportunity - Diversify route portfolios and pre‑position inventory in multiple sourcing hubs. - Insert explicit geopolitical and energy‑shock clauses in freight and procurement contracts. - Invest in real‑time intelligence for chokepoint, tariff and fuel risks; use scenario stress‑testing regularly. - Partner early with technology and emissions‑reporting specialists to offer integrated compliance services. - Build modal flexibility , contracts and networks that can switch between sea, rail and road with minimal friction.</w:t>
      </w:r>
      <w:r/>
    </w:p>
    <w:p>
      <w:r/>
      <w:r>
        <w:t>Conclusion Freightgate’s guidance that 2026 will be a year of managed instability is borne out by recent policy actions and multilateral economic signals through late 2025. For logistics executives the imperative is clear: move beyond efficiency optimisation to embed strategic resilience in route design, contracting and technology stacks. Firms that adapt their commercial terms, strengthen regional capabilities and integrate emissions and data compliance into their core offer will both protect margins and capture new flows as the global freight map fragments and reconfigures.</w:t>
      </w:r>
      <w:r/>
    </w:p>
    <w:p>
      <w:r/>
      <w:r>
        <w:t>About the analysis This piece retains the lead analysis by Martin Hubert and incorporates contemporaneous reporting and institutional commentary from late 2025 to sharpen the operational and contractual recommendations for 2026.</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https://cargonow.world/2026-outlook-navigating-the-new-geopolitical-currents-of-global-freight/</w:t>
        </w:r>
      </w:hyperlink>
      <w:r>
        <w:t xml:space="preserve"> - Please view link - unable to able to access data</w:t>
      </w:r>
      <w:r/>
    </w:p>
    <w:p>
      <w:pPr>
        <w:pStyle w:val="ListNumber"/>
        <w:spacing w:line="240" w:lineRule="auto"/>
        <w:ind w:left="720"/>
      </w:pPr>
      <w:r/>
      <w:hyperlink r:id="rId11">
        <w:r>
          <w:rPr>
            <w:color w:val="0000EE"/>
            <w:u w:val="single"/>
          </w:rPr>
          <w:t>https://www.reuters.com/world/china/china-us-port-fees-disrupt-cargo-flows-push-up-rates-2025-10-17/</w:t>
        </w:r>
      </w:hyperlink>
      <w:r>
        <w:t xml:space="preserve"> - In October 2025, China and the U.S. simultaneously imposed new port fees, disrupting global cargo flows and increasing shipping rates. To avoid these fees, ship operators rerouted vessels, leading to reduced transit efficiency and limited cargo capacity. Major shipping companies, including Maersk, Hapag-Lloyd, and CMA CGM, adjusted their routes accordingly. The Shanghai Containerized Freight Index rose by 12.9%, reflecting the impact on trans-Pacific routes. Analysts anticipate further increases in transportation costs if disruptions persist.</w:t>
      </w:r>
      <w:r/>
    </w:p>
    <w:p>
      <w:pPr>
        <w:pStyle w:val="ListNumber"/>
        <w:spacing w:line="240" w:lineRule="auto"/>
        <w:ind w:left="720"/>
      </w:pPr>
      <w:r/>
      <w:hyperlink r:id="rId12">
        <w:r>
          <w:rPr>
            <w:color w:val="0000EE"/>
            <w:u w:val="single"/>
          </w:rPr>
          <w:t>https://www.reuters.com/world/asia-pacific/imf-urges-asia-cut-trade-barriers-beat-us-tariffs-2025-10-24/</w:t>
        </w:r>
      </w:hyperlink>
      <w:r>
        <w:t xml:space="preserve"> - In October 2025, the International Monetary Fund (IMF) urged Asian nations to reduce non-tariff trade barriers and enhance regional trade integration to mitigate the impact of U.S. tariffs and global financial instability. The IMF highlighted Asia's heavy reliance on global markets, particularly the U.S. and Europe, and recommended broader regional trade agreements over bilateral deals. Removing non-tariff barriers could boost Asia's GDP by up to 1.4%, with ASEAN economies potentially growing by as much as 4% over the medium term.</w:t>
      </w:r>
      <w:r/>
    </w:p>
    <w:p>
      <w:pPr>
        <w:pStyle w:val="ListNumber"/>
        <w:spacing w:line="240" w:lineRule="auto"/>
        <w:ind w:left="720"/>
      </w:pPr>
      <w:r/>
      <w:hyperlink r:id="rId13">
        <w:r>
          <w:rPr>
            <w:color w:val="0000EE"/>
            <w:u w:val="single"/>
          </w:rPr>
          <w:t>https://www.reuters.com/world/americas/trade-between-latin-america-caribbean-due-grow-2025-despite-us-tariff-policy-2025-11-19/</w:t>
        </w:r>
      </w:hyperlink>
      <w:r>
        <w:t xml:space="preserve"> - A November 2025 report by the United Nations Economic Commission for Latin America and the Caribbean (ECLAC) projected a 5% rise in export value for 2025, despite increased U.S. tariffs on the region. Mexico, the largest exporter in the region, was expected to see a 5% export increase. The report attributed the muted impact of U.S. tariffs to accelerated imports and inventory accumulation by American companies, as well as strong trade activity among Asian economies. It also recommended that regional countries diversify trade partners and enhance regional cooperation to mitigate future risks.</w:t>
      </w:r>
      <w:r/>
    </w:p>
    <w:p>
      <w:pPr>
        <w:pStyle w:val="ListNumber"/>
        <w:spacing w:line="240" w:lineRule="auto"/>
        <w:ind w:left="720"/>
      </w:pPr>
      <w:r/>
      <w:hyperlink r:id="rId14">
        <w:r>
          <w:rPr>
            <w:color w:val="0000EE"/>
            <w:u w:val="single"/>
          </w:rPr>
          <w:t>https://www.reuters.com/markets/us-port-fees-china-vessels-would-affect-all-shipping-firms-cma-cgm-says-2025-02-28/</w:t>
        </w:r>
      </w:hyperlink>
      <w:r>
        <w:t xml:space="preserve"> - In February 2025, CMA CGM, the world's third-largest container shipping company, warned that proposed U.S. port fees targeting Chinese-built vessels could significantly impact the entire shipping industry. The U.S. Trade Representative (USTR) had proposed fees up to $1.5 million per Chinese-built ship entering U.S. ports, as part of an investigation into China's role in global shipbuilding and logistics. CMA CGM's CFO, Ramon Fernandez, highlighted that over half of the world's container ships are built in China, so all shipping firms—not just Chinese ones—would be affected.</w:t>
      </w:r>
      <w:r/>
    </w:p>
    <w:p>
      <w:pPr>
        <w:pStyle w:val="ListNumber"/>
        <w:spacing w:line="240" w:lineRule="auto"/>
        <w:ind w:left="720"/>
      </w:pPr>
      <w:r/>
      <w:hyperlink r:id="rId11">
        <w:r>
          <w:rPr>
            <w:color w:val="0000EE"/>
            <w:u w:val="single"/>
          </w:rPr>
          <w:t>https://www.reuters.com/world/china/china-us-port-fees-disrupt-cargo-flows-push-up-rates-2025-10-17/</w:t>
        </w:r>
      </w:hyperlink>
      <w:r>
        <w:t xml:space="preserve"> - In October 2025, China and the U.S. simultaneously imposed new port fees, disrupting global cargo flows and increasing shipping rates. To avoid these fees, ship operators rerouted vessels, leading to reduced transit efficiency and limited cargo capacity. Major shipping companies, including Maersk, Hapag-Lloyd, and CMA CGM, adjusted their routes accordingly. The Shanghai Containerized Freight Index rose by 12.9%, reflecting the impact on trans-Pacific routes. Analysts anticipate further increases in transportation costs if disruptions persist.</w:t>
      </w:r>
      <w:r/>
    </w:p>
    <w:p>
      <w:pPr>
        <w:pStyle w:val="ListNumber"/>
        <w:spacing w:line="240" w:lineRule="auto"/>
        <w:ind w:left="720"/>
      </w:pPr>
      <w:r/>
      <w:hyperlink r:id="rId12">
        <w:r>
          <w:rPr>
            <w:color w:val="0000EE"/>
            <w:u w:val="single"/>
          </w:rPr>
          <w:t>https://www.reuters.com/world/asia-pacific/imf-urges-asia-cut-trade-barriers-beat-us-tariffs-2025-10-24/</w:t>
        </w:r>
      </w:hyperlink>
      <w:r>
        <w:t xml:space="preserve"> - In October 2025, the International Monetary Fund (IMF) urged Asian nations to reduce non-tariff trade barriers and enhance regional trade integration to mitigate the impact of U.S. tariffs and global financial instability. The IMF highlighted Asia's heavy reliance on global markets, particularly the U.S. and Europe, and recommended broader regional trade agreements over bilateral deals. Removing non-tariff barriers could boost Asia's GDP by up to 1.4%, with ASEAN economies potentially growing by as much as 4% over the medium term.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gonow.world/2026-outlook-navigating-the-new-geopolitical-currents-of-global-freight/" TargetMode="External"/><Relationship Id="rId11" Type="http://schemas.openxmlformats.org/officeDocument/2006/relationships/hyperlink" Target="https://www.reuters.com/world/china/china-us-port-fees-disrupt-cargo-flows-push-up-rates-2025-10-17/" TargetMode="External"/><Relationship Id="rId12" Type="http://schemas.openxmlformats.org/officeDocument/2006/relationships/hyperlink" Target="https://www.reuters.com/world/asia-pacific/imf-urges-asia-cut-trade-barriers-beat-us-tariffs-2025-10-24/" TargetMode="External"/><Relationship Id="rId13" Type="http://schemas.openxmlformats.org/officeDocument/2006/relationships/hyperlink" Target="https://www.reuters.com/world/americas/trade-between-latin-america-caribbean-due-grow-2025-despite-us-tariff-policy-2025-11-19/" TargetMode="External"/><Relationship Id="rId14" Type="http://schemas.openxmlformats.org/officeDocument/2006/relationships/hyperlink" Target="https://www.reuters.com/markets/us-port-fees-china-vessels-would-affect-all-shipping-firms-cma-cgm-says-2025-02-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