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loosens coal restrictions amid global energy market turmoil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Indonesia's government has moved to loosen restrictions on coal output as global energy markets reel from the fallout of the war in Iran, saying it will raise miners' production limits and reassess export taxation to capture higher state revenue.</w:t>
      </w:r>
      <w:r/>
    </w:p>
    <w:p>
      <w:r/>
      <w:r>
        <w:t>Coordinating Economic Minister Airlangga Hartarto announced the measures as authorities seek to respond to a sharp uptick in energy prices triggered by supply disruptions stemming from the conflict in the Middle East. According to Bloomberg, the change will allow producers to increase coal volumes beyond recent ceilings, while officials are examining adjustments to export taxes on the fuel.</w:t>
      </w:r>
      <w:r/>
    </w:p>
    <w:p>
      <w:r/>
      <w:r>
        <w:t>The decision comes amid a wider scramble to stabilise energy availability after attacks on oil and gas infrastructure and threats to shipping through the Strait of Hormuz have curtailed flows of crude and liquefied natural gas. Analysts at the Center for Strategic and International Studies say damage to facilities across the Gulf and the effective paralysis of maritime traffic have forced producers to suspend exports and close some fields, helping push Brent crude sharply higher in early March. The World Economic Forum estimates roughly one fifth of global crude and natural gas production has been affected by the disruptions, contributing to a more than 25 percent rise in oil prices and renewed inflationary pressure for consumers and businesses.</w:t>
      </w:r>
      <w:r/>
    </w:p>
    <w:p>
      <w:r/>
      <w:r>
        <w:t>Financial institutions warn of broader macroeconomic knock-on effects. Morgan Stanley has signalled that persistent supply shocks from the Strait of Hormuz could lift gas and petrol costs, add to consumer price inflation, dampen household spending and complicate central-bank policy decisions, potentially increasing the likelihood of smaller interest-rate moves or a pause in tightening. Prolonged escalation also risks higher defence spending and wider fiscal deficits, which could push up long-term bond yields and weigh on equities.</w:t>
      </w:r>
      <w:r/>
    </w:p>
    <w:p>
      <w:r/>
      <w:r>
        <w:t>Indonesia’s move to expand coal output is notable against recent domestic policy shifts. Reporting by S&amp;P Global indicated that Jakarta had informed many miners of reduced production quotas for 2026, with cuts of between about 9 percent and 80 percent communicated to individual companies. That earlier guidance, aimed at curbing planned volumes, had implications for miners’ contractual commitments and state non-tax revenue; the new direction appears to reverse parts of that approach in response to the external shock.</w:t>
      </w:r>
      <w:r/>
    </w:p>
    <w:p>
      <w:r/>
      <w:r>
        <w:t>Industry observers say raising coal availability may temper some immediate supply-side stress for markets that rely on thermal coal as an alternative to gas and oil, but the effect on global prices will depend on the scale and timing of additional Indonesian shipments and whether buyers face logistical constraints. The government’s review of export taxes could further shape incentives for producers and the pace at which incremental volumes reach international buyers; officials have framed the tax review as a way to bolster state coffers amid the price surge.</w:t>
      </w:r>
      <w:r/>
    </w:p>
    <w:p>
      <w:r/>
      <w:r>
        <w:t>Taken together, the Indonesian measures reflect a policy balancing act: managers must weigh domestic fiscal interests, miners’ contractual obligations and international market stability while responding to a geopolitical shock that has amplified energy-market volatility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https://www.bloomberg.com/news/articles/2026-03-19/indonesia-to-raise-coal-output-as-iran-war-triggers-price-spike</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https://www.bloomberg.com/news/articles/2026-03-19/indonesia-to-raise-coal-output-as-iran-war-triggers-price-spike</w:t>
        </w:r>
      </w:hyperlink>
      <w:r>
        <w:t xml:space="preserve"> - Indonesia has announced plans to increase coal production quotas for miners following a surge in global energy prices caused by the ongoing conflict in Iran. The government is also considering adjustments to export taxes on coal to enhance state revenues. Coordinating Economic Minister Airlangga Hartato highlighted these measures in response to the escalating Middle East conflict.</w:t>
      </w:r>
      <w:r/>
    </w:p>
    <w:p>
      <w:pPr>
        <w:pStyle w:val="ListNumber"/>
        <w:spacing w:line="240" w:lineRule="auto"/>
        <w:ind w:left="720"/>
      </w:pPr>
      <w:r/>
      <w:hyperlink r:id="rId11">
        <w:r>
          <w:rPr>
            <w:color w:val="0000EE"/>
            <w:u w:val="single"/>
          </w:rPr>
          <w:t>https://www.csis.org/analysis/what-does-iran-war-mean-global-energy-markets</w:t>
        </w:r>
      </w:hyperlink>
      <w:r>
        <w:t xml:space="preserve"> - The Center for Strategic and International Studies (CSIS) analyses the impact of the Iran war on global energy markets, noting that Iranian attacks have damaged oil and gas facilities in the Gulf region, and threats against shipping through the Strait of Hormuz have brought maritime traffic to a near standstill, halting oil and liquefied natural gas (LNG) exports. As the crisis continues, announcements of closing production fields and LNG export facilities are beginning to mount. On Friday, March 6, international Brent oil prices surpassed $92 per barrel, up 28 percent since last Friday’s market close.</w:t>
      </w:r>
      <w:r/>
    </w:p>
    <w:p>
      <w:pPr>
        <w:pStyle w:val="ListNumber"/>
        <w:spacing w:line="240" w:lineRule="auto"/>
        <w:ind w:left="720"/>
      </w:pPr>
      <w:r/>
      <w:hyperlink r:id="rId12">
        <w:r>
          <w:rPr>
            <w:color w:val="0000EE"/>
            <w:u w:val="single"/>
          </w:rPr>
          <w:t>https://www.morganstanley.com/insights/articles/iran-war-oil-inflation-stock-market-2026</w:t>
        </w:r>
      </w:hyperlink>
      <w:r>
        <w:t xml:space="preserve"> - Morgan Stanley discusses the potential effects of the Iran conflict on global financial markets, highlighting that prolonged oil-supply disruptions in the Strait of Hormuz could lead to higher gas prices, increased consumer inflation, and slower household consumption. The report also notes that U.S. midterm elections could become more sensitive to cost-of-living concerns if extended conflict keeps energy prices elevated. A potential energy-supply shock could also box in the Federal Reserve, increasing the odds of smaller rate moves or a pause as officials weigh inflation concerns against growth concerns. Military escalation could lead to higher U.S. defense outlays and larger deficits, putting upward pressure on long-term bond yields—a potential headwind to equity and fixed income assets.</w:t>
      </w:r>
      <w:r/>
    </w:p>
    <w:p>
      <w:pPr>
        <w:pStyle w:val="ListNumber"/>
        <w:spacing w:line="240" w:lineRule="auto"/>
        <w:ind w:left="720"/>
      </w:pPr>
      <w:r/>
      <w:hyperlink r:id="rId13">
        <w:r>
          <w:rPr>
            <w:color w:val="0000EE"/>
            <w:u w:val="single"/>
          </w:rPr>
          <w:t>https://www.spglobal.com/energy/en/news-research/latest-news/coal/013026-indonesias-government-informs-of-production-quota-cuts-for-most-miners-in-2026-sources</w:t>
        </w:r>
      </w:hyperlink>
      <w:r>
        <w:t xml:space="preserve"> - S&amp;P Global reports that Indonesia's government has informed individual miners of production quota cuts for 2026, with reductions ranging from 9% to 80%. The cuts are expected to impact previously targeted production plans and long-term contracts for miners. The goal of the RKAB cuts may not necessarily be to maintain global commodity price stability. The policy could also reduce state revenue from Non-Tax State Revenue (PNBP).</w:t>
      </w:r>
      <w:r/>
    </w:p>
    <w:p>
      <w:pPr>
        <w:pStyle w:val="ListNumber"/>
        <w:spacing w:line="240" w:lineRule="auto"/>
        <w:ind w:left="720"/>
      </w:pPr>
      <w:r/>
      <w:hyperlink r:id="rId14">
        <w:r>
          <w:rPr>
            <w:color w:val="0000EE"/>
            <w:u w:val="single"/>
          </w:rPr>
          <w:t>https://www.weforum.org/stories/2026/03/iran-conflict-disrupts-oil-and-gas-supply-top-energy-stories-march-2026/</w:t>
        </w:r>
      </w:hyperlink>
      <w:r>
        <w:t xml:space="preserve"> - The World Economic Forum reports that the conflict in Iran has exposed vulnerabilities in global energy supplies, with around a fifth of the world's global crude and natural gas supply suspended amid attacks on infrastructure and disruption to the Strait of Hormuz. The disruption has forced the region’s oil producers to suspend shipments and oil fields to cut production. Global oil prices have surged by more than 25%, driving up fuel prices for consumers and businesses worldwide. There are also concerns that the disruption could affect food security, as significant volumes of the world's fertilizer are shipped through the Strait.</w:t>
      </w:r>
      <w:r/>
    </w:p>
    <w:p>
      <w:pPr>
        <w:pStyle w:val="ListNumber"/>
        <w:spacing w:line="240" w:lineRule="auto"/>
        <w:ind w:left="720"/>
      </w:pPr>
      <w:r/>
      <w:hyperlink r:id="rId15">
        <w:r>
          <w:rPr>
            <w:color w:val="0000EE"/>
            <w:u w:val="single"/>
          </w:rPr>
          <w:t>https://www.tmgm.com/en/analysis/market-insight/iran-us-war-on-global-financial-markets</w:t>
        </w:r>
      </w:hyperlink>
      <w:r>
        <w:t xml:space="preserve"> - TMGM analyses the impact of the Iran war on global financial markets, noting that the conflict has disrupted the most critical energy chokepoint and parts of the Gulf’s oil and LNG infrastructure. Attacks and shutdowns have hit key facilities across Qatar, Saudi Arabia, Iraq, the UAE, Bahrain, and Iran itself, affecting 20% of the global oil supply. The disruption in the Strait of Hormuz and damage to oil and gas infrastructure have tightened global oil supply, pushed global energy prices higher, raised global inflation risk, and forced investors to rethink growth, interest rates, and risk assets.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6-03-19/indonesia-to-raise-coal-output-as-iran-war-triggers-price-spike" TargetMode="External"/><Relationship Id="rId11" Type="http://schemas.openxmlformats.org/officeDocument/2006/relationships/hyperlink" Target="https://www.csis.org/analysis/what-does-iran-war-mean-global-energy-markets" TargetMode="External"/><Relationship Id="rId12" Type="http://schemas.openxmlformats.org/officeDocument/2006/relationships/hyperlink" Target="https://www.morganstanley.com/insights/articles/iran-war-oil-inflation-stock-market-2026" TargetMode="External"/><Relationship Id="rId13" Type="http://schemas.openxmlformats.org/officeDocument/2006/relationships/hyperlink" Target="https://www.spglobal.com/energy/en/news-research/latest-news/coal/013026-indonesias-government-informs-of-production-quota-cuts-for-most-miners-in-2026-sources" TargetMode="External"/><Relationship Id="rId14" Type="http://schemas.openxmlformats.org/officeDocument/2006/relationships/hyperlink" Target="https://www.weforum.org/stories/2026/03/iran-conflict-disrupts-oil-and-gas-supply-top-energy-stories-march-2026/" TargetMode="External"/><Relationship Id="rId15" Type="http://schemas.openxmlformats.org/officeDocument/2006/relationships/hyperlink" Target="https://www.tmgm.com/en/analysis/market-insight/iran-us-war-on-global-financial-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