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stablecoin rules prompt urgent overhaul of procurement skills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Implications of the GENIUS Act for Procurement Practices</w:t>
      </w:r>
      <w:r/>
    </w:p>
    <w:p>
      <w:r/>
      <w:r>
        <w:t>The recently advanced Guiding and Establishing National Innovation for U.S. Stablecoins (GENIUS) Act heralds a significant turning point in the U.S. regulatory landscape for stablecoins—cryptocurrencies that maintain their value by being pegged to traditional assets like the U.S. dollar. This legislation sets forth essential requirements for stablecoin issuers, mandating that they maintain reserves in secure and liquid assets, such as Treasury bills, adhere to anti-money laundering and terrorism financing regulations, and ensure that coin holders are given priority in bankruptcy proceedings.</w:t>
      </w:r>
      <w:r/>
    </w:p>
    <w:p>
      <w:r/>
      <w:r>
        <w:t>This newfound regulatory clarity is poised to encourage an influx of stablecoin issuance from established financial institutions like Bank of America and Fidelity, thereby accelerating the tokenisation of financial markets. Experts within the industry suggest that these developments could lead to heightened market engagement, boost the adoption of blockchain-based assets, and reinforce stablecoins’ status as vital components of decentralised finance ecosystems.</w:t>
      </w:r>
      <w:r/>
    </w:p>
    <w:p>
      <w:pPr>
        <w:pStyle w:val="Heading4"/>
      </w:pPr>
      <w:r>
        <w:t>Evolving Skills for Procurement Professionals</w:t>
      </w:r>
      <w:r/>
    </w:p>
    <w:p>
      <w:r/>
      <w:r>
        <w:t>In light of these developments, procurement teams must adapt to this rapidly changing environment by developing a suite of relevant skills:</w:t>
      </w:r>
      <w:r/>
      <w:r/>
    </w:p>
    <w:p>
      <w:pPr>
        <w:pStyle w:val="ListBullet"/>
        <w:spacing w:line="240" w:lineRule="auto"/>
        <w:ind w:left="720"/>
      </w:pPr>
      <w:r/>
      <w:r>
        <w:t>Cryptocurrency Fundamentals: A robust understanding of how cryptocurrencies operate, including their valuation dynamics, inherent volatility, and regulatory implications.</w:t>
      </w:r>
      <w:r/>
    </w:p>
    <w:p>
      <w:pPr>
        <w:pStyle w:val="ListBullet"/>
        <w:spacing w:line="240" w:lineRule="auto"/>
        <w:ind w:left="720"/>
      </w:pPr>
      <w:r/>
      <w:r>
        <w:t>Blockchain and Smart Contract Literacy: Building proficiency in blockchain technology, alongside the capability to interpret or draft smart contracts effectively.</w:t>
      </w:r>
      <w:r/>
    </w:p>
    <w:p>
      <w:pPr>
        <w:pStyle w:val="ListBullet"/>
        <w:spacing w:line="240" w:lineRule="auto"/>
        <w:ind w:left="720"/>
      </w:pPr>
      <w:r/>
      <w:r>
        <w:t>Legal and Compliance Acumen: Keeping abreast of the legal ramifications of utilising cryptocurrencies and smart contracts, which can differ significantly across jurisdictions.</w:t>
      </w:r>
      <w:r/>
    </w:p>
    <w:p>
      <w:pPr>
        <w:pStyle w:val="ListBullet"/>
        <w:spacing w:line="240" w:lineRule="auto"/>
        <w:ind w:left="720"/>
      </w:pPr>
      <w:r/>
      <w:r>
        <w:t>Digital Negotiation Techniques: Modernising negotiation strategies for digital platforms to ensure clarity and enforceability in virtual contracts.</w:t>
      </w:r>
      <w:r/>
    </w:p>
    <w:p>
      <w:pPr>
        <w:pStyle w:val="ListBullet"/>
        <w:spacing w:line="240" w:lineRule="auto"/>
        <w:ind w:left="720"/>
      </w:pPr>
      <w:r/>
      <w:r>
        <w:t>Risk Management: Developing frameworks to assess and mitigate risks associated with cryptocurrency transactions, particularly those related to price fluctuations and cybersecurity vulnerabilities.</w:t>
      </w:r>
      <w:r/>
      <w:r/>
    </w:p>
    <w:p>
      <w:r/>
      <w:r>
        <w:t>While the GENIUS Act itself may not establish a global standard, it undoubtedly sets a significant precedent. As the U.S. formalises its approach to stablecoin regulation, it is likely that other nations will follow suit, primarily to maintain competitive parity. For procurement professionals, this shift underscores the importance of staying ahead in an evolving landscape by:</w:t>
      </w:r>
      <w:r/>
      <w:r/>
    </w:p>
    <w:p>
      <w:pPr>
        <w:pStyle w:val="ListBullet"/>
        <w:spacing w:line="240" w:lineRule="auto"/>
        <w:ind w:left="720"/>
      </w:pPr>
      <w:r/>
      <w:r>
        <w:t>Gaining a comprehensive understanding of the operational and legal frameworks surrounding cryptocurrency.</w:t>
      </w:r>
      <w:r/>
    </w:p>
    <w:p>
      <w:pPr>
        <w:pStyle w:val="ListBullet"/>
        <w:spacing w:line="240" w:lineRule="auto"/>
        <w:ind w:left="720"/>
      </w:pPr>
      <w:r/>
      <w:r>
        <w:t>Collaborating with finance and legal departments to craft crypto-ready contracting playbooks that accommodate new transactional realities.</w:t>
      </w:r>
      <w:r/>
    </w:p>
    <w:p>
      <w:pPr>
        <w:pStyle w:val="ListBullet"/>
        <w:spacing w:line="240" w:lineRule="auto"/>
        <w:ind w:left="720"/>
      </w:pPr>
      <w:r/>
      <w:r>
        <w:t>Engaging with suppliers to evaluate their readiness for cryptocurrency integration and to understand any regional limitations they may face.</w:t>
      </w:r>
      <w:r/>
      <w:r/>
    </w:p>
    <w:p>
      <w:r/>
      <w:r>
        <w:t>The GENIUS Act represents not just regulatory evolution, but also a clarion call for procurement professionals to upskill, ensuring that they are prepared to navigate the complexities of a rapidly digitising financial ecosystem.</w:t>
      </w:r>
      <w:r/>
    </w:p>
    <w:p>
      <w:pPr>
        <w:pStyle w:val="Heading2"/>
      </w:pPr>
      <w:r>
        <w:t>Bibliography</w:t>
      </w:r>
      <w:r/>
      <w:r/>
    </w:p>
    <w:p>
      <w:pPr>
        <w:pStyle w:val="ListNumber"/>
        <w:numPr>
          <w:ilvl w:val="0"/>
          <w:numId w:val="14"/>
        </w:numPr>
        <w:spacing w:line="240" w:lineRule="auto"/>
        <w:ind w:left="720"/>
      </w:pPr>
      <w:r/>
      <w:hyperlink r:id="rId9">
        <w:r>
          <w:rPr>
            <w:color w:val="0000EE"/>
            <w:u w:val="single"/>
          </w:rPr>
          <w:t>https://www.banking.senate.gov/newsroom/majority/fact-sheet-the-genius-act-protects-consumers</w:t>
        </w:r>
      </w:hyperlink>
      <w:r>
        <w:t xml:space="preserve"> - This official fact sheet outlines the GENIUS Act's requirements for stablecoin issuers to maintain 100% reserve backing with U.S. dollars and short-term Treasuries, ensuring consumer protection and market stability.</w:t>
      </w:r>
      <w:r/>
    </w:p>
    <w:p>
      <w:pPr>
        <w:pStyle w:val="ListNumber"/>
        <w:spacing w:line="240" w:lineRule="auto"/>
        <w:ind w:left="720"/>
      </w:pPr>
      <w:r/>
      <w:hyperlink r:id="rId10">
        <w:r>
          <w:rPr>
            <w:color w:val="0000EE"/>
            <w:u w:val="single"/>
          </w:rPr>
          <w:t>https://www.coindesk.com/policy/2025/03/11/latest-draft-of-u-s-stablecoin-bill-aims-to-split-power-between-state-and-federal-authorities</w:t>
        </w:r>
      </w:hyperlink>
      <w:r>
        <w:t xml:space="preserve"> - This article discusses the GENIUS Act's approach to dividing stablecoin regulation between state and federal authorities, highlighting the bill's emphasis on transparency and enforcement requirements for issuers.</w:t>
      </w:r>
      <w:r/>
    </w:p>
    <w:p>
      <w:pPr>
        <w:pStyle w:val="ListNumber"/>
        <w:spacing w:line="240" w:lineRule="auto"/>
        <w:ind w:left="720"/>
      </w:pPr>
      <w:r/>
      <w:hyperlink r:id="rId11">
        <w:r>
          <w:rPr>
            <w:color w:val="0000EE"/>
            <w:u w:val="single"/>
          </w:rPr>
          <w:t>https://www.kroll.com/en/insights/publications/financial-compliance-regulation/navigating-future-of-stablecoin-regulation</w:t>
        </w:r>
      </w:hyperlink>
      <w:r>
        <w:t xml:space="preserve"> - This publication examines the GENIUS Act's provisions for stablecoin issuers to maintain segregated one-to-one reserves and comply with U.S. anti-money-laundering and sanctions rules, ensuring consumer confidence.</w:t>
      </w:r>
      <w:r/>
    </w:p>
    <w:p>
      <w:pPr>
        <w:pStyle w:val="ListNumber"/>
        <w:spacing w:line="240" w:lineRule="auto"/>
        <w:ind w:left="720"/>
      </w:pPr>
      <w:r/>
      <w:hyperlink r:id="rId12">
        <w:r>
          <w:rPr>
            <w:color w:val="0000EE"/>
            <w:u w:val="single"/>
          </w:rPr>
          <w:t>https://www.forbes.com/sites/tonyaevans/2025/02/17/what-the-newest-crypto-bills-in-congress-mean-for-stablecoins/</w:t>
        </w:r>
      </w:hyperlink>
      <w:r>
        <w:t xml:space="preserve"> - This article compares the GENIUS Act with other proposed stablecoin legislation, emphasizing its provisions for strict 1-to-1 reserves and the prohibition of algorithmic stablecoins to prevent market instability.</w:t>
      </w:r>
      <w:r/>
    </w:p>
    <w:p>
      <w:pPr>
        <w:pStyle w:val="ListNumber"/>
        <w:spacing w:line="240" w:lineRule="auto"/>
        <w:ind w:left="720"/>
      </w:pPr>
      <w:r/>
      <w:hyperlink r:id="rId13">
        <w:r>
          <w:rPr>
            <w:color w:val="0000EE"/>
            <w:u w:val="single"/>
          </w:rPr>
          <w:t>https://www.mayerbrown.com/en/insights/publications/2025/03/congress-moves-forward-on-stablecoin-legislation-the-us-senate-banking-committee-approves-the-genius-act</w:t>
        </w:r>
      </w:hyperlink>
      <w:r>
        <w:t xml:space="preserve"> - This legal update provides insights into the GENIUS Act's definition of payment stablecoins and the regulatory pathways for issuers, including federal and state oversight.</w:t>
      </w:r>
      <w:r/>
    </w:p>
    <w:p>
      <w:pPr>
        <w:pStyle w:val="ListNumber"/>
        <w:spacing w:line="240" w:lineRule="auto"/>
        <w:ind w:left="720"/>
      </w:pPr>
      <w:r/>
      <w:hyperlink r:id="rId14">
        <w:r>
          <w:rPr>
            <w:color w:val="0000EE"/>
            <w:u w:val="single"/>
          </w:rPr>
          <w:t>https://www.dlnews.com/articles/markets/genius-act-driving-stablecoin-supply-2-trillon-2028/</w:t>
        </w:r>
      </w:hyperlink>
      <w:r>
        <w:t xml:space="preserve"> - This article discusses the potential impact of the GENIUS Act on the stablecoin market, including projections of stablecoin supply reaching $2 trillion by 2028 and the act's influence on Treasury bill purchases.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king.senate.gov/newsroom/majority/fact-sheet-the-genius-act-protects-consumers" TargetMode="External"/><Relationship Id="rId10" Type="http://schemas.openxmlformats.org/officeDocument/2006/relationships/hyperlink" Target="https://www.coindesk.com/policy/2025/03/11/latest-draft-of-u-s-stablecoin-bill-aims-to-split-power-between-state-and-federal-authorities" TargetMode="External"/><Relationship Id="rId11" Type="http://schemas.openxmlformats.org/officeDocument/2006/relationships/hyperlink" Target="https://www.kroll.com/en/insights/publications/financial-compliance-regulation/navigating-future-of-stablecoin-regulation" TargetMode="External"/><Relationship Id="rId12" Type="http://schemas.openxmlformats.org/officeDocument/2006/relationships/hyperlink" Target="https://www.forbes.com/sites/tonyaevans/2025/02/17/what-the-newest-crypto-bills-in-congress-mean-for-stablecoins/" TargetMode="External"/><Relationship Id="rId13" Type="http://schemas.openxmlformats.org/officeDocument/2006/relationships/hyperlink" Target="https://www.mayerbrown.com/en/insights/publications/2025/03/congress-moves-forward-on-stablecoin-legislation-the-us-senate-banking-committee-approves-the-genius-act" TargetMode="External"/><Relationship Id="rId14" Type="http://schemas.openxmlformats.org/officeDocument/2006/relationships/hyperlink" Target="https://www.dlnews.com/articles/markets/genius-act-driving-stablecoin-supply-2-trillon-2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