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Kiteworks unveils military-grade secure data forms to bridge enterprise security gaps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Kiteworks Launches Military-Grade Secure Data Forms to Close Enterprise Security Gap and Protect Vulnerable Web Forms</w:t>
      </w:r>
      <w:r/>
    </w:p>
    <w:p>
      <w:r/>
      <w:r>
        <w:rPr>
          <w:b/>
        </w:rPr>
        <w:t>First-of-its-kind platform combines FedRAMP High Ready, FIPS 140-3, and full data sovereignty to safeguard sensitive submissions in regulated industries and across enterprise supply chains</w:t>
      </w:r>
      <w:r/>
    </w:p>
    <w:p>
      <w:r/>
      <w:r>
        <w:t xml:space="preserve">San Mateo, CA – November 18, 2025 – Kiteworks, which empowers organizations to effectively manage risk in every send, share, receive, and use of private data, today announced the availability of Kiteworks </w:t>
      </w:r>
      <w:hyperlink r:id="rId9">
        <w:r>
          <w:rPr>
            <w:color w:val="0000EE"/>
            <w:u w:val="single"/>
          </w:rPr>
          <w:t>Secure Data Forms</w:t>
        </w:r>
      </w:hyperlink>
      <w:r>
        <w:t>, the only secure data forms solution combining the highest-level security certifications (FedRAMP High Ready, FIPS 140-3) with complete data sovereignty control, automated compliance monitoring, and supply chain–aware protections for regulated industries. The new offering extends Kiteworks’ Private Data Network (PDN) to web-based data collection, transforming how enterprises and their contractors, suppliers, and partners handle sensitive information in financial services, healthcare, government, and legal sectors.</w:t>
      </w:r>
      <w:r/>
    </w:p>
    <w:p>
      <w:r/>
      <w:r>
        <w:t xml:space="preserve">Traditional web forms have become enterprises’ weakest security link. Data breaches now average </w:t>
      </w:r>
      <w:hyperlink r:id="rId10">
        <w:r>
          <w:rPr>
            <w:color w:val="0000EE"/>
            <w:u w:val="single"/>
          </w:rPr>
          <w:t>$4.44 million in costs</w:t>
        </w:r>
      </w:hyperlink>
      <w:r>
        <w:t>, regulatory fines have increased tenfold over five years, and data sovereignty laws span more than 100 countries. Generic form builders and legacy enterprise solutions lack the security certifications, data residency options, and automated compliance capabilities that regulated industries and their supply chain partners require, creating a critical vulnerability at the point of data collection.</w:t>
      </w:r>
      <w:r/>
    </w:p>
    <w:p>
      <w:r/>
      <w:r>
        <w:t>“Organizations can’t secure data they collect through forms they can’t trust,” said Yaron Galant, Chief Product Officer at Kiteworks. “Every web form represents a potential entry point for sensitive information, customer data, patient records, financial details, proprietary information. At the same time, it also provides a broad attack surface for threat actors to exploit. Yet most enterprises rely on form solutions built for convenience, not security. Compliance officers can’t verify where form data is stored geographically, and organizations often find their vendors’ forms lack proper security or application-level resilience. Kiteworks Secure Data Forms addresses these risks, bringing zero-trust architecture, compliance automation, and comprehensive data sovereignty control to web-based data collection while extending these protections throughout the supply chain.”</w:t>
      </w:r>
      <w:r/>
    </w:p>
    <w:p>
      <w:r/>
      <w:r>
        <w:rPr>
          <w:b/>
        </w:rPr>
        <w:t>Unmatched Security: Certifications That Prove Government-Level Protection</w:t>
      </w:r>
      <w:r/>
    </w:p>
    <w:p>
      <w:r/>
      <w:r>
        <w:t>Part of the Kiteworks Private Data Network, Kiteworks Secure Data Forms achieves FedRAMP High Ready certification posture, the highest government security standard, proving the platform meets military-grade security requirements. FIPS 140-3 cryptographic validation guarantees data protection compliance through verified encryption methods. These certifications aren’t available from generic form builders or legacy solutions, they represent the rigorous third-party validation that regulated industries and their partners demand. The platform implements zero-trust architecture across the entire data collection lifecycle. Unlike traditional forms relying on perimeter security, Kiteworks continuously validates every interaction, eliminating insider threat risks and preventing lateral movement if credentials are compromised. This approach addresses how sophisticated attackers increasingly target data collection endpoints that organizations and their supply chain partners may mistakenly consider low risk.</w:t>
      </w:r>
      <w:r/>
    </w:p>
    <w:p>
      <w:r/>
      <w:r>
        <w:rPr>
          <w:b/>
        </w:rPr>
        <w:t>Complete Data Sovereignty: Guarantee Where Sensitive Information Lives</w:t>
      </w:r>
      <w:r/>
    </w:p>
    <w:p>
      <w:r/>
      <w:r>
        <w:t>The platform provides regional data residency options, ensuring sensitive information never leaves specified jurisdictions. Data stays in required regions with local processing options, enabling compliance with GDPR, HIPAA, and data localization requirements across 100+ countries.</w:t>
      </w:r>
      <w:r/>
      <w:r/>
    </w:p>
    <w:p>
      <w:pPr>
        <w:pStyle w:val="ListBullet"/>
        <w:spacing w:line="240" w:lineRule="auto"/>
        <w:ind w:left="720"/>
      </w:pPr>
      <w:r/>
      <w:r>
        <w:t>Healthcare organizations collecting patient information across multiple countries ensure data remains within required borders.</w:t>
      </w:r>
      <w:r/>
    </w:p>
    <w:p>
      <w:pPr>
        <w:pStyle w:val="ListBullet"/>
        <w:spacing w:line="240" w:lineRule="auto"/>
        <w:ind w:left="720"/>
      </w:pPr>
      <w:r/>
      <w:r>
        <w:t>Financial services firms maintain regional data separation to satisfy regulatory requirements.</w:t>
      </w:r>
      <w:r/>
    </w:p>
    <w:p>
      <w:pPr>
        <w:pStyle w:val="ListBullet"/>
        <w:spacing w:line="240" w:lineRule="auto"/>
        <w:ind w:left="720"/>
      </w:pPr>
      <w:r/>
      <w:r>
        <w:t>Government agencies guarantee citizen data stays within national infrastructure.</w:t>
      </w:r>
      <w:r/>
    </w:p>
    <w:p>
      <w:pPr>
        <w:pStyle w:val="ListBullet"/>
        <w:spacing w:line="240" w:lineRule="auto"/>
        <w:ind w:left="720"/>
      </w:pPr>
      <w:r/>
      <w:r>
        <w:t>Multinational corporations can meet diverse data residency laws without deploying multiple form solutions.</w:t>
      </w:r>
      <w:r/>
    </w:p>
    <w:p>
      <w:pPr>
        <w:pStyle w:val="ListBullet"/>
        <w:spacing w:line="240" w:lineRule="auto"/>
        <w:ind w:left="720"/>
      </w:pPr>
      <w:r/>
      <w:r>
        <w:t>Supply chain partners, vendors, and contractors gain the same level of verified control, reducing risk exposure across the extended enterprise.</w:t>
      </w:r>
      <w:r/>
      <w:r/>
    </w:p>
    <w:p>
      <w:r/>
      <w:r>
        <w:t>The platform supports flexible deployment models, cloud, on-premises, or hybrid, with multi-region options aligned with existing data governance frameworks. This flexibility provides the jurisdictional control that data protection officers and supply chain managers require to demonstrate compliance during audits.</w:t>
      </w:r>
      <w:r/>
    </w:p>
    <w:p>
      <w:r/>
      <w:r>
        <w:rPr>
          <w:b/>
        </w:rPr>
        <w:t>Automated Compliance: Reduce Audit Preparation by 80%</w:t>
      </w:r>
      <w:r/>
    </w:p>
    <w:p>
      <w:r/>
      <w:r>
        <w:t>Always-on compliance monitoring tracks form submissions across HIPAA, GDPR, SOX, and PCI DSS simultaneously. The platform automatically documents data flows, validates encryption status, and generates audit trails, reducing audit preparation time by up to 80% compared to manual tracking. Real-time alerts notify security and compliance teams when form configurations drift from policy requirements, unusual access patterns emerge, or data moves between regions. Organizations and their supply chain partners can instantly answer fundamental auditor questions: Where is this data stored? Who accessed it? How is it protected? What controls validate sovereignty compliance?</w:t>
      </w:r>
      <w:r/>
    </w:p>
    <w:p>
      <w:r/>
      <w:r>
        <w:rPr>
          <w:b/>
        </w:rPr>
        <w:t>Eliminating the Weakest Link in Enterprise Security</w:t>
      </w:r>
      <w:r/>
    </w:p>
    <w:p>
      <w:r/>
      <w:r>
        <w:t>“Traditional web forms are the weakest link in enterprise security and compliance,” concluded Galant. “One breach could cost millions of dollars, and a data sovereignty violation could halt operations in entire regions. Generic form builders can’t solve this, they weren’t designed for regulated industries or supply chains. Kiteworks Secure Data Forms delivers what enterprises need: FedRAMP High Ready security, guaranteed data residency, and automated compliance. Organizations and their partners finally have certainty that every form submission is secured with military-grade encryption, data remains within required jurisdictions, and compliance is continuously validated. This isn’t incremental improvement, it transforms data collection from a vulnerability into a competitive advantage across the extended enterprise.”</w:t>
      </w:r>
      <w:r/>
    </w:p>
    <w:p>
      <w:r/>
      <w:r>
        <w:t xml:space="preserve">Get Kiteworks Secure Data Forms at </w:t>
      </w:r>
      <w:hyperlink r:id="rId9">
        <w:r>
          <w:rPr>
            <w:color w:val="0000EE"/>
            <w:u w:val="single"/>
          </w:rPr>
          <w:t>kiteworks.com/secure-data-forms</w:t>
        </w:r>
      </w:hyperlink>
      <w:r>
        <w:t>.</w:t>
      </w:r>
      <w:r/>
    </w:p>
    <w:p>
      <w:r/>
      <w:r>
        <w:rPr>
          <w:b/>
        </w:rPr>
        <w:t>About Kiteworks</w:t>
      </w:r>
      <w:r/>
    </w:p>
    <w:p>
      <w:r/>
      <w:r>
        <w:t xml:space="preserve">Kiteworks’ mission is to empower organizations to effectively manage risk in every send, share, receive, and use of private data. The Kiteworks platform provides customers with a </w:t>
      </w:r>
      <w:hyperlink r:id="rId11">
        <w:r>
          <w:rPr>
            <w:color w:val="0000EE"/>
            <w:u w:val="single"/>
          </w:rPr>
          <w:t>Private Data Network</w:t>
        </w:r>
      </w:hyperlink>
      <w:r>
        <w:t xml:space="preserve"> that delivers data governance, compliance, and protection. The platform unifies, tracks, controls, and secures sensitive data moving within, into, and out of their organization, significantly improving risk management and ensuring regulatory compliance on all private data exchanges. Headquartered in Silicon Valley, Kiteworks protects over 100 million end-users and over 1,500 global enterprises, government agencies, and supply chain partners.</w:t>
      </w:r>
      <w:r/>
    </w:p>
    <w:p>
      <w:pPr>
        <w:pStyle w:val="Heading2"/>
      </w:pPr>
      <w:r>
        <w:t>Bibliography</w:t>
      </w:r>
      <w:r/>
      <w:r/>
    </w:p>
    <w:p>
      <w:pPr>
        <w:pStyle w:val="ListNumber"/>
        <w:numPr>
          <w:ilvl w:val="0"/>
          <w:numId w:val="14"/>
        </w:numPr>
        <w:spacing w:line="240" w:lineRule="auto"/>
        <w:ind w:left="720"/>
      </w:pPr>
      <w:r/>
      <w:hyperlink r:id="rId12">
        <w:r>
          <w:rPr>
            <w:color w:val="0000EE"/>
            <w:u w:val="single"/>
          </w:rPr>
          <w:t>https://www.kiteworks.com/secure-data-forms</w:t>
        </w:r>
      </w:hyperlink>
      <w:r>
        <w:t xml:space="preserve"> - This URL leads to the official page for Kiteworks Secure Data Forms, detailing its features and certifications, including FedRAMP High Ready and FIPS 140-3.</w:t>
      </w:r>
      <w:r/>
    </w:p>
    <w:p>
      <w:pPr>
        <w:pStyle w:val="ListNumber"/>
        <w:spacing w:line="240" w:lineRule="auto"/>
        <w:ind w:left="720"/>
      </w:pPr>
      <w:r/>
      <w:hyperlink r:id="rId10">
        <w:r>
          <w:rPr>
            <w:color w:val="0000EE"/>
            <w:u w:val="single"/>
          </w:rPr>
          <w:t>https://www.kiteworks.com/cybersecurity-risk-management/ibm-2025-data-breach-report-ai-risks/</w:t>
        </w:r>
      </w:hyperlink>
      <w:r>
        <w:t xml:space="preserve"> - This page provides information on the average cost of data breaches, highlighting the financial impact of security vulnerabilities in web forms.</w:t>
      </w:r>
      <w:r/>
    </w:p>
    <w:p>
      <w:pPr>
        <w:pStyle w:val="ListNumber"/>
        <w:spacing w:line="240" w:lineRule="auto"/>
        <w:ind w:left="720"/>
      </w:pPr>
      <w:r/>
      <w:hyperlink r:id="rId13">
        <w:r>
          <w:rPr>
            <w:color w:val="0000EE"/>
            <w:u w:val="single"/>
          </w:rPr>
          <w:t>https://www.kiteworks.com/sites/default/files/resources/kiteworks-ebook-data-sovereignty-and-gdpr.pdf</w:t>
        </w:r>
      </w:hyperlink>
      <w:r>
        <w:t xml:space="preserve"> - This eBook discusses data sovereignty and GDPR compliance, emphasizing the importance of regional data residency options for sensitive information.</w:t>
      </w:r>
      <w:r/>
    </w:p>
    <w:p>
      <w:pPr>
        <w:pStyle w:val="ListNumber"/>
        <w:spacing w:line="240" w:lineRule="auto"/>
        <w:ind w:left="720"/>
      </w:pPr>
      <w:r/>
      <w:hyperlink r:id="rId14">
        <w:r>
          <w:rPr>
            <w:color w:val="0000EE"/>
            <w:u w:val="single"/>
          </w:rPr>
          <w:t>https://www.kiteworks.com/sites/default/files/resources/kiteworks-brief-navigating-eu-data-act-compliance-with-kiteworks.pdf</w:t>
        </w:r>
      </w:hyperlink>
      <w:r>
        <w:t xml:space="preserve"> - This compliance brief outlines how Kiteworks supports compliance with the EU Data Act, including secure web forms and data residency controls.</w:t>
      </w:r>
      <w:r/>
    </w:p>
    <w:p>
      <w:pPr>
        <w:pStyle w:val="ListNumber"/>
        <w:spacing w:line="240" w:lineRule="auto"/>
        <w:ind w:left="720"/>
      </w:pPr>
      <w:r/>
      <w:hyperlink r:id="rId15">
        <w:r>
          <w:rPr>
            <w:color w:val="0000EE"/>
            <w:u w:val="single"/>
          </w:rPr>
          <w:t>https://info.kiteworks.com/zero-trust-data-exchange</w:t>
        </w:r>
      </w:hyperlink>
      <w:r>
        <w:t xml:space="preserve"> - This page describes Kiteworks' Zero-Trust Data Exchange, implementing continuous verification and data-centric protection to secure data collection.</w:t>
      </w:r>
      <w:r/>
    </w:p>
    <w:p>
      <w:pPr>
        <w:pStyle w:val="ListNumber"/>
        <w:spacing w:line="240" w:lineRule="auto"/>
        <w:ind w:left="720"/>
      </w:pPr>
      <w:r/>
      <w:hyperlink r:id="rId16">
        <w:r>
          <w:rPr>
            <w:color w:val="0000EE"/>
            <w:u w:val="single"/>
          </w:rPr>
          <w:t>https://www.kiteworks.com/secure-file-sharing-for-european-compliance</w:t>
        </w:r>
      </w:hyperlink>
      <w:r>
        <w:t xml:space="preserve"> - This resource details how Kiteworks ensures secure file sharing and compliance with European regulations like GDPR, DORA, and NIS-2.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iteworks.com/secure-data-forms" TargetMode="External"/><Relationship Id="rId10" Type="http://schemas.openxmlformats.org/officeDocument/2006/relationships/hyperlink" Target="https://www.kiteworks.com/cybersecurity-risk-management/ibm-2025-data-breach-report-ai-risks/" TargetMode="External"/><Relationship Id="rId11" Type="http://schemas.openxmlformats.org/officeDocument/2006/relationships/hyperlink" Target="https://www.kiteworks.com/platform/private-data-network/" TargetMode="External"/><Relationship Id="rId12" Type="http://schemas.openxmlformats.org/officeDocument/2006/relationships/hyperlink" Target="https://www.kiteworks.com/secure-data-forms" TargetMode="External"/><Relationship Id="rId13" Type="http://schemas.openxmlformats.org/officeDocument/2006/relationships/hyperlink" Target="https://www.kiteworks.com/sites/default/files/resources/kiteworks-ebook-data-sovereignty-and-gdpr.pdf" TargetMode="External"/><Relationship Id="rId14" Type="http://schemas.openxmlformats.org/officeDocument/2006/relationships/hyperlink" Target="https://www.kiteworks.com/sites/default/files/resources/kiteworks-brief-navigating-eu-data-act-compliance-with-kiteworks.pdf" TargetMode="External"/><Relationship Id="rId15" Type="http://schemas.openxmlformats.org/officeDocument/2006/relationships/hyperlink" Target="https://info.kiteworks.com/zero-trust-data-exchange" TargetMode="External"/><Relationship Id="rId16" Type="http://schemas.openxmlformats.org/officeDocument/2006/relationships/hyperlink" Target="https://www.kiteworks.com/secure-file-sharing-for-european-compl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